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44" w:rsidRPr="00972144" w:rsidRDefault="00972144" w:rsidP="00972144">
      <w:pPr>
        <w:jc w:val="center"/>
        <w:rPr>
          <w:b/>
          <w:caps/>
        </w:rPr>
      </w:pPr>
      <w:r w:rsidRPr="00972144">
        <w:rPr>
          <w:b/>
          <w:caps/>
        </w:rPr>
        <w:t>Comunicado do Conselho do Governo</w:t>
      </w:r>
    </w:p>
    <w:p w:rsidR="00972144" w:rsidRDefault="00972144" w:rsidP="00972144">
      <w:pPr>
        <w:jc w:val="center"/>
        <w:rPr>
          <w:b/>
        </w:rPr>
      </w:pPr>
    </w:p>
    <w:p w:rsidR="00972144" w:rsidRDefault="00972144" w:rsidP="00972144">
      <w:pPr>
        <w:rPr>
          <w:b/>
        </w:rPr>
      </w:pPr>
    </w:p>
    <w:p w:rsidR="00972144" w:rsidRDefault="00972144" w:rsidP="00972144">
      <w:pPr>
        <w:jc w:val="center"/>
        <w:rPr>
          <w:b/>
        </w:rPr>
      </w:pPr>
      <w:r w:rsidRPr="00972144">
        <w:rPr>
          <w:b/>
        </w:rPr>
        <w:t>Vila do Corvo, 24 de Maio de 2013</w:t>
      </w:r>
    </w:p>
    <w:p w:rsidR="00972144" w:rsidRDefault="00972144" w:rsidP="00972144">
      <w:pPr>
        <w:jc w:val="center"/>
        <w:rPr>
          <w:b/>
        </w:rPr>
      </w:pPr>
    </w:p>
    <w:p w:rsidR="00972144" w:rsidRDefault="00972144" w:rsidP="00972144">
      <w:pPr>
        <w:jc w:val="center"/>
        <w:rPr>
          <w:b/>
        </w:rPr>
      </w:pPr>
    </w:p>
    <w:p w:rsidR="00972144" w:rsidRPr="00972144" w:rsidRDefault="00972144" w:rsidP="00972144">
      <w:pPr>
        <w:jc w:val="center"/>
        <w:rPr>
          <w:b/>
        </w:rPr>
      </w:pPr>
    </w:p>
    <w:p w:rsidR="00972144" w:rsidRDefault="00972144" w:rsidP="00972144">
      <w:pPr>
        <w:jc w:val="both"/>
      </w:pPr>
      <w:r>
        <w:t>O Conselho do Governo, reunido a 23 de maio na Vila do Corvo, no âmbito da Visita Estatutária à Ilha do Corvo, tomou as seguintes deliberações: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1 - Homologar a decisão de aprovar quatro colocações para a ilha do Corvo no âmbito de diversas medidas de promoção de emprego, distribuídas pelos programas PROSA (3) e Estagiar L (1), num investimento global de cerca de 48 mil euros.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Com esta decisão, o Governo dos Açores pretende reforçar as medidas potenciadoras da criação de emprego na Região, tendo em vista, por um lado, o fomento da empregabilidade dos açorianos e, por outro lado, o reforço competitivo dos quadros das instituições parceiras, assim como a fixação de jovens nas ilhas de menor densidade populacional.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2 - Apoiar a Santa Casa da Misericórdia do Corvo num montante de cerca de 11 mil euros para a elaboração do projeto de ampliação e remodelação da cozinha e lavandaria desta instituição.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Esta decisão resulta da necessidade de melhorar as condições de instalação e a capacidade do apoio às valências de Serviço de Apoio ao Domicilio, Lar de Idosos, Creche e Jardim de Infância da Santa Casa da Misericórdia do Corvo.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3 - Atribuir uma verba de 50 mil euros, ao abrigo do protocolo celebrado com o Município de Vila do Corvo, destinada à recuperação de habitações degradadas ou devolutas.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Esta medida concretiza a política de reabilitação e recuperação de habitação degradada, que se enquadra na opção do XI Governo Regional de privilegiar a reabilitação urbana enquanto instrumento preferencial das políticas de Habitação.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4 - Apoiar com uma verba de cerca de 15 mil euros a Associação de Jovens do Corvo para a realização do Festival dos Moinhos, que decorrerá nesta ilha de 14 a 18 de agosto próximo, inserido no programa das Festividades de Nossa Senhora dos Milagres, tendo em vista a promoção e animação turística, visando particularmente o mercado interno.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O Festival dos Moinhos é um evento com elevada notoriedade, que contribui ativamente para a captação de fluxos turísticos para a ilha e, consequentemente, para a dinamização da economia local.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lastRenderedPageBreak/>
        <w:t>5 - Estabelecer uma parceria com a respetiva autarquia para a instalação de um Posto de Turismo, com vista a prestar informação e acompanhamento a todos os turistas que visitam a Ilha do Corvo.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6 - Lançar o concurso público para a realização da empreitada de drenagem e alargamento da faixa de rodagem do troço da Estrada de Leste compreendido entre a Lomba do </w:t>
      </w:r>
      <w:proofErr w:type="spellStart"/>
      <w:r>
        <w:t>Rodias</w:t>
      </w:r>
      <w:proofErr w:type="spellEnd"/>
      <w:r>
        <w:t xml:space="preserve"> e o Caminho do Pico João Moura.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Esta decisão dá seguimento à política de requalificação das estradas regionais, com o objetivo de garantir melhores acessibilidades e maiores condições de segurança.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7 - O Conselho do Governo decidiu também dar orientações </w:t>
      </w:r>
      <w:proofErr w:type="gramStart"/>
      <w:r>
        <w:t>à Portos dos Açores</w:t>
      </w:r>
      <w:proofErr w:type="gramEnd"/>
      <w:r>
        <w:t>, SA, para proceder de imediato à adjudicação da elaboração do estudo técnico para a solução final de ampliação e alargamento do Porto da Casa, visando as respetivas condições de segurança e operacionalidade desta infraestrutura portuária.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8 - Lançar, em estreita colaboração com a Associação Agrícola da Ilha do Corvo e com a </w:t>
      </w:r>
      <w:proofErr w:type="spellStart"/>
      <w:r>
        <w:t>Lacticorvo</w:t>
      </w:r>
      <w:proofErr w:type="spellEnd"/>
      <w:r>
        <w:t>, ações de formação profissional agrária e de aconselhamento técnico junto dos agricultores, visando a valorização da atividade agrícola e pecuária nesta ilha e a qualificação dos seus produtos.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9 - Alterar o projeto de selagem do atual aterro municipal, em colaboração com a Câmara Municipal do Corvo, de forma a permitir a instalação nesse local de um aterro de resíduos de construção e demolição. 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10 - Reabilitar a atafona contígua ao Centro de Interpretação Ambiental e Cultural do Corvo, proporcionando o aumento e diversificação da oferta que é disponibilizada aos visitantes daquele espaço.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11 - Proceder à celebração de um protocolo com a Sociedade Portuguesa para o Estudo das Aves (SPEA) destinado a comparticipar a manutenção das estruturas construídas com a implementação do projeto "Ilhas Santuário para Aves Marinhas".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Trata-se de um projeto cofinanciado pelo Programa </w:t>
      </w:r>
      <w:proofErr w:type="spellStart"/>
      <w:r>
        <w:t>Life</w:t>
      </w:r>
      <w:proofErr w:type="spellEnd"/>
      <w:r>
        <w:t>+ da Comissão Europeia, que permitiu implementar duas áreas protegidas dedicadas à conservação de aves marinhas na ilha.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O Conselho do Governo decidiu ainda: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12 - Extinguir os atuais institutos da Segurança Social (Instituto para o Desenvolvimento Social dos Açores - IDSA e Instituto de Gestão Financeira da Segurança Social nos Açores - IGSSA), sendo no seu lugar criado um único instituto, que assume a designação de Instituto de Segurança Social dos Açores (ISSA), concretizando-se, assim, um dos objetivos do Governo no sentido de garantir uma maior eficiência económica.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lastRenderedPageBreak/>
        <w:t>Com a criação do ISSA pretende-se maximizar sinergias operacionais, aumentar a eficácia dos serviços, rentabilizar recursos humanos e financeiros e evitar a duplicação das estruturas administrativas.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O ISSA terá sede na ilha Terceira e entrará em efetividade de funções a partir do dia 1 de janeiro de 2014, no início do próximo ano económico.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13 - O Conselho do Governo aprovou também um conjunto de diplomas estruturantes para o setor da Educação, dando cumprimento ao que está definido no Programa do XI Governo Regional e aos compromissos eleitorais assumidos, </w:t>
      </w:r>
      <w:proofErr w:type="gramStart"/>
      <w:r>
        <w:t>de forma a que</w:t>
      </w:r>
      <w:proofErr w:type="gramEnd"/>
      <w:r>
        <w:t xml:space="preserve"> possam estar em vigor no início do próximo ano letivo e permaneçam por um período de quatro anos, garantindo a estabilidade necessária para o sucesso escolar.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Assim, foram aprovadas: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- Uma proposta de Decreto Legislativo Regional que estabelece o regime jurídico de autonomia e gestão das unidades orgânicas do Sistema Educativo Regional, as normas aplicáveis à criação, tipologia e denominação dos estabelecimentos de educação e de ensino e o regime jurídico do desporto escolar.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As alterações introduzidas em relação ao regime anterior resultam dos objetivos fixados no Programa do XI Governo dos Açores, nomeadamente no que se refere à necessidade de implementação de estratégias para que as lideranças das unidades orgânicas do Sistema Educativo Regional sejam fortes, responsáveis pelos seus desempenhos e determinadas a assegurar maiores níveis de sucesso dos alunos.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 xml:space="preserve">Pretende-se que os mandatos referentes ao Conselho Executivo e ao Conselho Pedagógico tenham a mesma duração (três anos) e sejam coincidentes, como forma de melhorar o funcionamento e a necessária articulação entre eles, e reforçam-se as competências do Conselho Pedagógico, criando-se condições para que haja um papel mais interventivo dos pais e dos encarregados de educação, limitando-se, paralelamente, os mandatos sucessivos dos Conselhos Executivos como forma de gerar novas alternativas. 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No âmbito da formação de professores, pretende-se que as escolas dos Açores sejam entidades formadoras por excelência, apostando-se na partilha de boas práticas.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- Uma proposta de Decreto Legislativo Regional que define o novo Estatuto do Aluno dos Ensinos Básico e Secundário, na sequência da experiência colhida com o atual estatuto e visando reforçar um ambiente escolar propício à melhoria da aprendizagem e ao sucesso escolar dos alunos.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O novo Estatuto do Aluno clarifica os procedimentos e prazos a observar nos procedimentos disciplinares e exclui as coimas e contraordenações previstas no atual Estatuto, que se revelaram de difícil aplicação e que não permitiram atingir os objetivos pretendidos.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lastRenderedPageBreak/>
        <w:t>O diploma reforça, simultaneamente, a autoridade dos professores, reduz para três dias o período de faltas passíveis de serem justificadas pelo encarregado de educação e determina, entre outros aspetos, que um docente ou aluno que tenham sido alvo de agressão por um aluno que recebeu, por essa atitude, uma suspensão da escola por período superior a cinco dias, possa solicitar a transferência de turma do agressor, evitando-se assim que a vítima seja obrigada a conviver diariamente com o seu agressor.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- Uma proposta de Decreto Legislativo Regional que altera o Estatuto do Ensino Particular, Cooperativo e Solidário, permitindo o alargamento da possibilidade de frequência em regime de ensino doméstico nos níveis e ciclos de ensino que compõem a escolaridade obrigatória.</w:t>
      </w:r>
    </w:p>
    <w:p w:rsidR="00972144" w:rsidRDefault="00972144" w:rsidP="00972144">
      <w:pPr>
        <w:jc w:val="both"/>
      </w:pPr>
    </w:p>
    <w:p w:rsidR="00972144" w:rsidRDefault="00972144" w:rsidP="00972144">
      <w:pPr>
        <w:jc w:val="both"/>
      </w:pPr>
      <w:r>
        <w:t>Esta alteração pretende garantir o efetivo respeito pelos direitos dos pais de assegurarem a educação e ensino dos seus filhos em conformidade com as suas convicções, sem abdicar da qualidade da educação prestada às crianças e jovens.</w:t>
      </w:r>
    </w:p>
    <w:p w:rsidR="00972144" w:rsidRDefault="00972144" w:rsidP="00972144">
      <w:pPr>
        <w:jc w:val="both"/>
      </w:pPr>
    </w:p>
    <w:p w:rsidR="00A45F0B" w:rsidRDefault="00972144" w:rsidP="00972144">
      <w:pPr>
        <w:jc w:val="both"/>
      </w:pPr>
      <w:r>
        <w:t>O diploma promove ainda a uniformização dos critérios de atribuição das comparticipações financeiras às valências educativas privadas, adotando as regras de determinação de escalões da Ação Social Escolar no ensino público no que se refere à atribuição de apoios financeiros à frequência em estabelecimentos de ensino particular e cooperativo, assegurando desta forma a igualdade entre todos os alunos da Região.</w:t>
      </w:r>
    </w:p>
    <w:sectPr w:rsidR="00A45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44" w:rsidRDefault="00972144" w:rsidP="00972144">
      <w:r>
        <w:separator/>
      </w:r>
    </w:p>
  </w:endnote>
  <w:endnote w:type="continuationSeparator" w:id="0">
    <w:p w:rsidR="00972144" w:rsidRDefault="00972144" w:rsidP="0097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4" w:rsidRDefault="009721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01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72144" w:rsidRDefault="009721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144" w:rsidRDefault="009721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4" w:rsidRDefault="009721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44" w:rsidRDefault="00972144" w:rsidP="00972144">
      <w:r>
        <w:separator/>
      </w:r>
    </w:p>
  </w:footnote>
  <w:footnote w:type="continuationSeparator" w:id="0">
    <w:p w:rsidR="00972144" w:rsidRDefault="00972144" w:rsidP="0097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4" w:rsidRDefault="009721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4" w:rsidRPr="00972144" w:rsidRDefault="00972144" w:rsidP="00972144">
    <w:pPr>
      <w:pStyle w:val="Cabealho"/>
      <w:jc w:val="center"/>
      <w:rPr>
        <w:i/>
        <w:iCs/>
      </w:rPr>
    </w:pPr>
    <w:r w:rsidRPr="00972144">
      <w:rPr>
        <w:i/>
        <w:iCs/>
      </w:rPr>
      <w:drawing>
        <wp:inline distT="0" distB="0" distL="0" distR="0" wp14:anchorId="4D3DEF7C" wp14:editId="5C194C73">
          <wp:extent cx="341630" cy="316865"/>
          <wp:effectExtent l="0" t="0" r="0" b="0"/>
          <wp:docPr id="2" name="Imagem 2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44" w:rsidRPr="00972144" w:rsidRDefault="00972144" w:rsidP="00972144">
    <w:pPr>
      <w:pStyle w:val="Cabealho"/>
      <w:jc w:val="center"/>
    </w:pPr>
    <w:r w:rsidRPr="00972144">
      <w:t>REGIÃO AUTÓNOMA DOS AÇORES</w:t>
    </w:r>
  </w:p>
  <w:p w:rsidR="00972144" w:rsidRPr="00972144" w:rsidRDefault="00972144" w:rsidP="00972144">
    <w:pPr>
      <w:pStyle w:val="Cabealho"/>
      <w:jc w:val="center"/>
    </w:pPr>
    <w:r w:rsidRPr="00972144">
      <w:t>PRESIDÊNCIA DO GOVERNO</w:t>
    </w:r>
  </w:p>
  <w:p w:rsidR="00972144" w:rsidRDefault="00972144">
    <w:pPr>
      <w:pStyle w:val="Cabealho"/>
    </w:pPr>
  </w:p>
  <w:p w:rsidR="00972144" w:rsidRDefault="009721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44" w:rsidRDefault="009721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44"/>
    <w:rsid w:val="00972144"/>
    <w:rsid w:val="00A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1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144"/>
  </w:style>
  <w:style w:type="paragraph" w:styleId="Rodap">
    <w:name w:val="footer"/>
    <w:basedOn w:val="Normal"/>
    <w:link w:val="RodapCarcter"/>
    <w:uiPriority w:val="99"/>
    <w:unhideWhenUsed/>
    <w:rsid w:val="009721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144"/>
  </w:style>
  <w:style w:type="paragraph" w:styleId="Textodebalo">
    <w:name w:val="Balloon Text"/>
    <w:basedOn w:val="Normal"/>
    <w:link w:val="TextodebaloCarcter"/>
    <w:uiPriority w:val="99"/>
    <w:semiHidden/>
    <w:unhideWhenUsed/>
    <w:rsid w:val="009721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7214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144"/>
  </w:style>
  <w:style w:type="paragraph" w:styleId="Rodap">
    <w:name w:val="footer"/>
    <w:basedOn w:val="Normal"/>
    <w:link w:val="RodapCarcter"/>
    <w:uiPriority w:val="99"/>
    <w:unhideWhenUsed/>
    <w:rsid w:val="0097214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144"/>
  </w:style>
  <w:style w:type="paragraph" w:styleId="Textodebalo">
    <w:name w:val="Balloon Text"/>
    <w:basedOn w:val="Normal"/>
    <w:link w:val="TextodebaloCarcter"/>
    <w:uiPriority w:val="99"/>
    <w:semiHidden/>
    <w:unhideWhenUsed/>
    <w:rsid w:val="0097214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0"/>
    <w:rsid w:val="000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3C4AF1065F4A409256568BD4761EF7">
    <w:name w:val="A53C4AF1065F4A409256568BD4761EF7"/>
    <w:rsid w:val="00015C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53C4AF1065F4A409256568BD4761EF7">
    <w:name w:val="A53C4AF1065F4A409256568BD4761EF7"/>
    <w:rsid w:val="00015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1360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CPS. Oliveira</dc:creator>
  <cp:lastModifiedBy>Maria CPS. Oliveira</cp:lastModifiedBy>
  <cp:revision>1</cp:revision>
  <cp:lastPrinted>2014-04-22T12:03:00Z</cp:lastPrinted>
  <dcterms:created xsi:type="dcterms:W3CDTF">2014-04-22T11:56:00Z</dcterms:created>
  <dcterms:modified xsi:type="dcterms:W3CDTF">2014-04-22T12:04:00Z</dcterms:modified>
</cp:coreProperties>
</file>