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E8C4" w14:textId="3881AD26" w:rsidR="00C32EC6" w:rsidRPr="00C32EC6" w:rsidRDefault="00C32EC6" w:rsidP="00C32EC6">
      <w:pPr>
        <w:jc w:val="center"/>
        <w:rPr>
          <w:b/>
        </w:rPr>
      </w:pPr>
      <w:r w:rsidRPr="00C32EC6">
        <w:rPr>
          <w:b/>
        </w:rPr>
        <w:t>COMUNICADO DO CONSELHO DO GOVERNO</w:t>
      </w:r>
      <w:r w:rsidR="007D0D9F">
        <w:rPr>
          <w:b/>
        </w:rPr>
        <w:t xml:space="preserve"> SOBRE AMBIENTE</w:t>
      </w:r>
    </w:p>
    <w:p w14:paraId="0B82E8C5" w14:textId="77777777" w:rsidR="00C32EC6" w:rsidRDefault="00C32EC6" w:rsidP="0041663C"/>
    <w:p w14:paraId="0B82E8C6" w14:textId="77777777" w:rsidR="00C32EC6" w:rsidRDefault="00C32EC6" w:rsidP="0041663C"/>
    <w:p w14:paraId="0B82E8C7" w14:textId="34BD5E48" w:rsidR="0041663C" w:rsidRDefault="007D0D9F" w:rsidP="00B00666">
      <w:pPr>
        <w:jc w:val="center"/>
        <w:rPr>
          <w:b/>
        </w:rPr>
      </w:pPr>
      <w:r>
        <w:rPr>
          <w:b/>
        </w:rPr>
        <w:t>Furnas</w:t>
      </w:r>
      <w:r w:rsidR="00336BE6">
        <w:rPr>
          <w:b/>
        </w:rPr>
        <w:t xml:space="preserve">, </w:t>
      </w:r>
      <w:r>
        <w:rPr>
          <w:b/>
        </w:rPr>
        <w:t>2</w:t>
      </w:r>
      <w:r w:rsidR="00F83496">
        <w:rPr>
          <w:b/>
        </w:rPr>
        <w:t xml:space="preserve"> de </w:t>
      </w:r>
      <w:r>
        <w:rPr>
          <w:b/>
        </w:rPr>
        <w:t>julho</w:t>
      </w:r>
      <w:r w:rsidR="00F83496">
        <w:rPr>
          <w:b/>
        </w:rPr>
        <w:t xml:space="preserve"> de 2018</w:t>
      </w:r>
    </w:p>
    <w:p w14:paraId="124CE09F" w14:textId="77777777" w:rsidR="003C3509" w:rsidRDefault="003C3509" w:rsidP="00B00666">
      <w:pPr>
        <w:jc w:val="center"/>
        <w:rPr>
          <w:b/>
        </w:rPr>
      </w:pPr>
    </w:p>
    <w:p w14:paraId="2231486D" w14:textId="72CA1674" w:rsidR="007D0D9F" w:rsidRDefault="007D0D9F" w:rsidP="007D0D9F">
      <w:pPr>
        <w:jc w:val="left"/>
      </w:pPr>
      <w:r>
        <w:t xml:space="preserve">  </w:t>
      </w:r>
    </w:p>
    <w:p w14:paraId="4DCC4F69" w14:textId="77777777" w:rsidR="00255B53" w:rsidRDefault="00255B53" w:rsidP="007D0D9F">
      <w:pPr>
        <w:jc w:val="left"/>
      </w:pPr>
      <w:bookmarkStart w:id="0" w:name="_GoBack"/>
      <w:bookmarkEnd w:id="0"/>
    </w:p>
    <w:p w14:paraId="57B44F58" w14:textId="77777777" w:rsidR="007D0D9F" w:rsidRDefault="007D0D9F" w:rsidP="007D0D9F">
      <w:r>
        <w:t>O Conselho do Governo, reunido a 2 de julho, nas Furnas, deliberou:</w:t>
      </w:r>
    </w:p>
    <w:p w14:paraId="3B54C354" w14:textId="77777777" w:rsidR="007D0D9F" w:rsidRDefault="007D0D9F" w:rsidP="007D0D9F"/>
    <w:p w14:paraId="3DD6379F" w14:textId="2AA4A687" w:rsidR="007D0D9F" w:rsidRDefault="007D0D9F" w:rsidP="007D0D9F">
      <w:r>
        <w:t>Responsabilidade do presente e oportunidade de futuro" - Foi com este mote que realizámos, aqui, nas Furnas, ao longo de todo o dia, um Conselho de Governo especificamente dedicado às temáticas ambientais, em que aprovámos um pacote legislativo composto por um vasto conjunto de medidas e políticas nesta área.</w:t>
      </w:r>
    </w:p>
    <w:p w14:paraId="5E209AE3" w14:textId="77777777" w:rsidR="007D0D9F" w:rsidRDefault="007D0D9F" w:rsidP="007D0D9F"/>
    <w:p w14:paraId="23E2E549" w14:textId="77777777" w:rsidR="007D0D9F" w:rsidRDefault="007D0D9F" w:rsidP="007D0D9F">
      <w:r>
        <w:t>Estas são medidas e políticas que dão expressão prática ao compromisso do Governo dos Açores com os objetivos do desenvolvimento sustentável da Agenda 2030.</w:t>
      </w:r>
    </w:p>
    <w:p w14:paraId="5282EDCC" w14:textId="29C2F0C7" w:rsidR="007D0D9F" w:rsidRDefault="007D0D9F" w:rsidP="007D0D9F"/>
    <w:p w14:paraId="03E98181" w14:textId="77777777" w:rsidR="007D0D9F" w:rsidRDefault="007D0D9F" w:rsidP="007D0D9F">
      <w:r>
        <w:t>Nesse sentido, assumem-se como linhas-mestras da atuação do Governo em quatro grandes áreas:</w:t>
      </w:r>
    </w:p>
    <w:p w14:paraId="3019F5E6" w14:textId="77777777" w:rsidR="007D0D9F" w:rsidRDefault="007D0D9F" w:rsidP="007D0D9F"/>
    <w:p w14:paraId="6EFB4FB2" w14:textId="77777777" w:rsidR="007D0D9F" w:rsidRDefault="007D0D9F" w:rsidP="007D0D9F">
      <w:r>
        <w:t>- a preservação da qualidade ambiental e do património natural;</w:t>
      </w:r>
    </w:p>
    <w:p w14:paraId="3A2D4305" w14:textId="369BC9C7" w:rsidR="007D0D9F" w:rsidRDefault="007D0D9F" w:rsidP="007D0D9F"/>
    <w:p w14:paraId="7570EB42" w14:textId="77777777" w:rsidR="007D0D9F" w:rsidRDefault="007D0D9F" w:rsidP="007D0D9F">
      <w:r>
        <w:t>- a gestão e utilização sustentável dos recursos naturais;</w:t>
      </w:r>
    </w:p>
    <w:p w14:paraId="07FE3805" w14:textId="119895B6" w:rsidR="007D0D9F" w:rsidRDefault="007D0D9F" w:rsidP="007D0D9F"/>
    <w:p w14:paraId="3EB7C0CD" w14:textId="77777777" w:rsidR="007D0D9F" w:rsidRDefault="007D0D9F" w:rsidP="007D0D9F">
      <w:r>
        <w:t>- o ordenamento do território; e</w:t>
      </w:r>
    </w:p>
    <w:p w14:paraId="2A6C6006" w14:textId="25B4265C" w:rsidR="007D0D9F" w:rsidRDefault="007D0D9F" w:rsidP="007D0D9F"/>
    <w:p w14:paraId="1AACA112" w14:textId="77777777" w:rsidR="007D0D9F" w:rsidRDefault="007D0D9F" w:rsidP="007D0D9F">
      <w:r>
        <w:t>- o combate às causas e a mitigação dos efeitos das alterações climáticas.</w:t>
      </w:r>
    </w:p>
    <w:p w14:paraId="6BABEFAD" w14:textId="77777777" w:rsidR="007D0D9F" w:rsidRDefault="007D0D9F" w:rsidP="007D0D9F"/>
    <w:p w14:paraId="3E16AC45" w14:textId="77777777" w:rsidR="007D0D9F" w:rsidRDefault="007D0D9F" w:rsidP="007D0D9F">
      <w:r>
        <w:t>Começo por destacar a proposta de Decreto Legislativo Regional que cria o Programa Regional para as Alterações Climáticas (PRAC), documento que reputamos de fundamental para preparar a Região em vários setores, face a uma realidade cada vez mais presente e que tem implicações na vida diária dos Açorianos.</w:t>
      </w:r>
    </w:p>
    <w:p w14:paraId="06DBA69E" w14:textId="77777777" w:rsidR="007D0D9F" w:rsidRDefault="007D0D9F" w:rsidP="007D0D9F"/>
    <w:p w14:paraId="33939CD1" w14:textId="77777777" w:rsidR="007D0D9F" w:rsidRDefault="007D0D9F" w:rsidP="007D0D9F">
      <w:r>
        <w:t>As alterações climáticas são um dos maiores desafios com que a Humanidade se depara no século XXI, tendo os seus impactes a capacidade de fazer reverter décadas de desenvolvimento, com efeitos especialmente gravosos nos territórios insulares e dispersos, como é o caso dos Açores.</w:t>
      </w:r>
    </w:p>
    <w:p w14:paraId="40F3D837" w14:textId="77777777" w:rsidR="007D0D9F" w:rsidRDefault="007D0D9F" w:rsidP="007D0D9F"/>
    <w:p w14:paraId="65BA8B19" w14:textId="77777777" w:rsidR="007D0D9F" w:rsidRDefault="007D0D9F" w:rsidP="007D0D9F">
      <w:r>
        <w:t>É preciso estarmos preparados e, nesse sentido, o PRAC tem como principal objetivo estratégico reforçar o conhecimento e a informação em matéria de mitigação das emissões e de adaptação aos efeitos das alterações climáticas e, a partir daí, prevê a definição e implementação de medidas e ações concretas para alcançar esse desiderato.</w:t>
      </w:r>
    </w:p>
    <w:p w14:paraId="4077251C" w14:textId="77777777" w:rsidR="007D0D9F" w:rsidRDefault="007D0D9F" w:rsidP="007D0D9F"/>
    <w:p w14:paraId="35D773A5" w14:textId="77777777" w:rsidR="007D0D9F" w:rsidRDefault="007D0D9F" w:rsidP="007D0D9F">
      <w:r>
        <w:t>Estamos, no fundo, a falar de medidas concretas e de metas objetivas como, por exemplo:</w:t>
      </w:r>
    </w:p>
    <w:p w14:paraId="257C5DEE" w14:textId="77777777" w:rsidR="007D0D9F" w:rsidRDefault="007D0D9F" w:rsidP="007D0D9F"/>
    <w:p w14:paraId="2F2C36E6" w14:textId="77777777" w:rsidR="007D0D9F" w:rsidRDefault="007D0D9F" w:rsidP="007D0D9F">
      <w:r>
        <w:t xml:space="preserve">- O alargamento da rede de monitorização automática do nível das massas de água superficiais a todas as 23 lagoas dos Açores (atualmente, a rede abrange 15 lagoas) e a </w:t>
      </w:r>
      <w:r>
        <w:lastRenderedPageBreak/>
        <w:t>instalação de uma rede de monitorização automática quantitativa das massas de água subterrâneas;</w:t>
      </w:r>
    </w:p>
    <w:p w14:paraId="4E42DB50" w14:textId="77777777" w:rsidR="007D0D9F" w:rsidRDefault="007D0D9F" w:rsidP="007D0D9F"/>
    <w:p w14:paraId="75E46A05" w14:textId="77777777" w:rsidR="007D0D9F" w:rsidRDefault="007D0D9F" w:rsidP="007D0D9F">
      <w:r>
        <w:t>- A criação, por parte das entidades gestoras dos sistemas de abastecimento, de reservatórios para armazenamento de água para garantir a disponibilidade deste bem, sem sobrecarga dos recursos naturais, em períodos de escassez;</w:t>
      </w:r>
    </w:p>
    <w:p w14:paraId="56C4397A" w14:textId="77777777" w:rsidR="007D0D9F" w:rsidRDefault="007D0D9F" w:rsidP="007D0D9F"/>
    <w:p w14:paraId="40DDDA4E" w14:textId="77777777" w:rsidR="007D0D9F" w:rsidRDefault="007D0D9F" w:rsidP="007D0D9F">
      <w:r>
        <w:t>- A elaboração de cartografia de base de riscos naturais que acautele a exposição e vulnerabilidade do território a cheias, inundações, movimentos de vertente e emanações gasosas permanentes, sendo esta informação, imediata e obrigatoriamente, integrada nos planos especiais e municipais de ordenamento do território, os quais devem desenvolver cartografia de pormenor, sempre que visem determinar o afastamento de edificações, equipamentos ou infraestruturas de zonas de risco significativo;</w:t>
      </w:r>
    </w:p>
    <w:p w14:paraId="1A0CCC23" w14:textId="77777777" w:rsidR="007D0D9F" w:rsidRDefault="007D0D9F" w:rsidP="007D0D9F"/>
    <w:p w14:paraId="78002078" w14:textId="0B305697" w:rsidR="007D0D9F" w:rsidRDefault="007D0D9F" w:rsidP="007D0D9F">
      <w:r>
        <w:t>- E, na componente da mitigação, um conjunto de opções de política e medidas de baixo carbono (como, por exemplo, o aumento de fontes de energias renováveis na rede elétrica, a introdução do veículo elétrico e o aumento das áreas florestais, entre outras) que podem contribuir para reduzir as emissões de Gases com Efeito de Estufa (GEE) e aumentar o sequestro de carbono.</w:t>
      </w:r>
    </w:p>
    <w:p w14:paraId="37EA9FEB" w14:textId="5876970D" w:rsidR="007D0D9F" w:rsidRDefault="007D0D9F" w:rsidP="007D0D9F"/>
    <w:p w14:paraId="3F05CBD2" w14:textId="77777777" w:rsidR="007D0D9F" w:rsidRDefault="007D0D9F" w:rsidP="007D0D9F">
      <w:r>
        <w:t>Estas opções permitem alcançar reduções de emissões na ordem de 19% na projeção alta (menos 342.000 toneladas de CO2 equivalente) e de 40% na projeção baixa (menos 331.000 toneladas de CO2 equivalente), considerando o horizonte de 2030.</w:t>
      </w:r>
    </w:p>
    <w:p w14:paraId="5C68FBC6" w14:textId="77777777" w:rsidR="007D0D9F" w:rsidRDefault="007D0D9F" w:rsidP="007D0D9F"/>
    <w:p w14:paraId="428FB585" w14:textId="77777777" w:rsidR="007D0D9F" w:rsidRDefault="007D0D9F" w:rsidP="007D0D9F">
      <w:r>
        <w:t>Antecipando algumas dessas medidas do PRAC e concretizando opções estratégicas de política energética, aprovámos outros dois diplomas que são da maior relevância para a sustentabilidade dos Açores: a decisão de proceder à elaboração da Estratégia Açoriana para a Energia 2030 e a proposta de Estratégia para a Implementação da Mobilidade Elétrica nos Açores.</w:t>
      </w:r>
    </w:p>
    <w:p w14:paraId="1E3379F3" w14:textId="77777777" w:rsidR="007D0D9F" w:rsidRDefault="007D0D9F" w:rsidP="007D0D9F"/>
    <w:p w14:paraId="37DA0F75" w14:textId="77777777" w:rsidR="007D0D9F" w:rsidRDefault="007D0D9F" w:rsidP="007D0D9F">
      <w:r>
        <w:t>A Estratégia para a Energia no Horizonte 2030 deve constituir-se como documento catalisador de um novo paradigma energético, com um enfoque significativo na economia de baixo carbono e na implementação dos princípios da economia circular.</w:t>
      </w:r>
    </w:p>
    <w:p w14:paraId="438FCD7A" w14:textId="77777777" w:rsidR="007D0D9F" w:rsidRDefault="007D0D9F" w:rsidP="007D0D9F"/>
    <w:p w14:paraId="7ECA9037" w14:textId="77777777" w:rsidR="007D0D9F" w:rsidRDefault="007D0D9F" w:rsidP="007D0D9F">
      <w:r>
        <w:t>A elaboração deste documento terá duas fases: uma primeira para elaboração de diagnóstico e definição de objetivos, e uma segunda para definição das entidades responsáveis pela implementação de ações concretas que visam cumprir estes objetivos.</w:t>
      </w:r>
    </w:p>
    <w:p w14:paraId="3C0B9873" w14:textId="77777777" w:rsidR="007D0D9F" w:rsidRDefault="007D0D9F" w:rsidP="007D0D9F"/>
    <w:p w14:paraId="23E44108" w14:textId="77777777" w:rsidR="007D0D9F" w:rsidRDefault="007D0D9F" w:rsidP="007D0D9F">
      <w:r>
        <w:t>Por sua vez, a proposta referente à mobilidade elétrica, que seguirá o processo legislativo normal, prevê um conjunto de incentivos regionais, de caráter financeiro, fiscal e de discriminação positiva dos utilizadores de veículo elétrico, de forma a concretizar o objetivo de, em 2030, termos mais de 2.000 veículos elétricos em circulação nos Açores.</w:t>
      </w:r>
    </w:p>
    <w:p w14:paraId="069F8DCD" w14:textId="77777777" w:rsidR="007D0D9F" w:rsidRDefault="007D0D9F" w:rsidP="007D0D9F"/>
    <w:p w14:paraId="320FA64C" w14:textId="77777777" w:rsidR="007D0D9F" w:rsidRDefault="007D0D9F" w:rsidP="007D0D9F">
      <w:r>
        <w:t>Com a aprovação dos diplomas referidos (dois dos quais seguem agora para a Assembleia Legislativa), a Região dá, convictamente, execução às diretivas decorrentes do Protocolo de Paris e do Pacote Energia-Clima da Estratégia Europa 2020.</w:t>
      </w:r>
    </w:p>
    <w:p w14:paraId="1D6B8DA0" w14:textId="77777777" w:rsidR="007D0D9F" w:rsidRDefault="007D0D9F" w:rsidP="007D0D9F"/>
    <w:p w14:paraId="4224E8B3" w14:textId="77777777" w:rsidR="007D0D9F" w:rsidRDefault="007D0D9F" w:rsidP="007D0D9F">
      <w:r>
        <w:lastRenderedPageBreak/>
        <w:t>Os recursos hídricos são um bem natural de importância estratégica, reclamando uma gestão sustentável, assente em regras e procedimentos que promovam a boa utilização, a sua preservação qualitativa e quantitativa, e a preservação do ambiente.</w:t>
      </w:r>
    </w:p>
    <w:p w14:paraId="1CFFF000" w14:textId="77777777" w:rsidR="007D0D9F" w:rsidRDefault="007D0D9F" w:rsidP="007D0D9F"/>
    <w:p w14:paraId="21A6E2BB" w14:textId="77777777" w:rsidR="007D0D9F" w:rsidRDefault="007D0D9F" w:rsidP="007D0D9F">
      <w:r>
        <w:t>Neste contexto, o Conselho do Governo determinou também o início do processo de alteração do Plano Regional da Água (PRA), adaptando-o ao atual quadro de planeamento e gestão dos recursos hídricos a nível europeu, nacional e regional.</w:t>
      </w:r>
    </w:p>
    <w:p w14:paraId="1A54D24A" w14:textId="77777777" w:rsidR="007D0D9F" w:rsidRDefault="007D0D9F" w:rsidP="007D0D9F"/>
    <w:p w14:paraId="431416C2" w14:textId="77777777" w:rsidR="007D0D9F" w:rsidRDefault="007D0D9F" w:rsidP="007D0D9F">
      <w:r>
        <w:t>Por outro lado, foram aprovados dois Decretos Regulamentares Regionais que procedem à primeira alteração dos Planos de Ordenamento das Bacias Hidrográficas da Lagoa das Sete Cidades e da Lagoa das Furnas.</w:t>
      </w:r>
    </w:p>
    <w:p w14:paraId="74B9DAF4" w14:textId="77777777" w:rsidR="007D0D9F" w:rsidRDefault="007D0D9F" w:rsidP="007D0D9F"/>
    <w:p w14:paraId="1911B19D" w14:textId="77777777" w:rsidR="007D0D9F" w:rsidRDefault="007D0D9F" w:rsidP="007D0D9F">
      <w:r>
        <w:t>Com a atualização destes instrumentos garante-se a sua adequação às condições económicas, sociais, culturais e ambientais do presente, e confere-se maior eficácia a regras que visam harmonização e compatibilização das diferentes atividades, usos, ocupação e transformação do solo nas bacias hidrográficas, com a recuperação, manutenção e melhoria da qualidade da água das lagoas, numa perspetiva integrada de valorização da paisagem, de salvaguarda dos recursos e valores naturais, da biodiversidade e do interesse público.</w:t>
      </w:r>
    </w:p>
    <w:p w14:paraId="56D787F6" w14:textId="77777777" w:rsidR="007D0D9F" w:rsidRDefault="007D0D9F" w:rsidP="007D0D9F"/>
    <w:p w14:paraId="2587BD7D" w14:textId="77777777" w:rsidR="007D0D9F" w:rsidRDefault="007D0D9F" w:rsidP="007D0D9F">
      <w:r>
        <w:t>Relativamente a instrumentos de gestão territorial, uma referência à decisão de desencadear os processos de alteração dos Planos de Ordenamento da Orla Costeira das ilhas Terceira e São Jorge, que se insere na estratégia do Governo dos Açores de avaliação e, consequente, atualização dos POOC de todas as ilhas até 2022.</w:t>
      </w:r>
    </w:p>
    <w:p w14:paraId="637D2512" w14:textId="77777777" w:rsidR="007D0D9F" w:rsidRDefault="007D0D9F" w:rsidP="007D0D9F"/>
    <w:p w14:paraId="53041A60" w14:textId="77777777" w:rsidR="007D0D9F" w:rsidRDefault="007D0D9F" w:rsidP="007D0D9F">
      <w:r>
        <w:t>Estes procedimentos de alteração dos POOC das ilhas Terceira e São Jorge serão acompanhados por uma comissão consultiva, representativa de todos os interesses em presença, e devem estar concluídos até 31 de dezembro de 2019.</w:t>
      </w:r>
    </w:p>
    <w:p w14:paraId="5F74B1DC" w14:textId="77777777" w:rsidR="007D0D9F" w:rsidRDefault="007D0D9F" w:rsidP="007D0D9F"/>
    <w:p w14:paraId="1AD82EB9" w14:textId="77777777" w:rsidR="007D0D9F" w:rsidRDefault="007D0D9F" w:rsidP="007D0D9F">
      <w:r>
        <w:t>Ao nível da biodiversidade, da geodiversidade e da paisagem, o Conselho do Governo aprovou as seguintes iniciativas:</w:t>
      </w:r>
    </w:p>
    <w:p w14:paraId="728534F6" w14:textId="77777777" w:rsidR="007D0D9F" w:rsidRDefault="007D0D9F" w:rsidP="007D0D9F"/>
    <w:p w14:paraId="7B4DC5B0" w14:textId="588DB067" w:rsidR="007D0D9F" w:rsidRDefault="007D0D9F" w:rsidP="007D0D9F">
      <w:r>
        <w:t>- uma Resolução que estabelece objetivos de qualidade de paisagem e as orientações para a gestão da paisagem, promovendo a proteção, ordenamento e gestão ativa e integrada da Paisagem dos Açores, por via da delimitação das unidades de paisagem de cada uma das ilhas, bem como dos respetivos elementos singulares e os pontos panorâmicos.</w:t>
      </w:r>
    </w:p>
    <w:p w14:paraId="71A5E8BF" w14:textId="77777777" w:rsidR="007D0D9F" w:rsidRDefault="007D0D9F" w:rsidP="007D0D9F"/>
    <w:p w14:paraId="04DED250" w14:textId="77777777" w:rsidR="007D0D9F" w:rsidRDefault="007D0D9F" w:rsidP="007D0D9F">
      <w:r>
        <w:t>- uma Resolução que determina a elaboração do Plano de Ação para a Conservação da Reserva Natural da Lagoa do Fogo, visando a conservação de habitats naturais e de espécies que aí ocorrem e o estabelecimento de regras de acesso e fruição da área protegida.</w:t>
      </w:r>
    </w:p>
    <w:p w14:paraId="73370254" w14:textId="77777777" w:rsidR="007D0D9F" w:rsidRDefault="007D0D9F" w:rsidP="007D0D9F"/>
    <w:p w14:paraId="2061445B" w14:textId="77777777" w:rsidR="007D0D9F" w:rsidRDefault="007D0D9F" w:rsidP="007D0D9F">
      <w:r>
        <w:t>O Plano de Ação será elaborado por um grupo técnico constituído no âmbito da Direção Regional do Ambiente, no prazo de 18 meses.</w:t>
      </w:r>
    </w:p>
    <w:p w14:paraId="4E882A01" w14:textId="77777777" w:rsidR="007D0D9F" w:rsidRDefault="007D0D9F" w:rsidP="007D0D9F"/>
    <w:p w14:paraId="58C04520" w14:textId="77777777" w:rsidR="007D0D9F" w:rsidRDefault="007D0D9F" w:rsidP="007D0D9F">
      <w:r>
        <w:t>- Uma proposta de Decreto Legislativo Regional que cria um regime de proteção e classificação das cavidades vulcânicas dos Açores.</w:t>
      </w:r>
    </w:p>
    <w:p w14:paraId="6328B184" w14:textId="77777777" w:rsidR="007D0D9F" w:rsidRDefault="007D0D9F" w:rsidP="007D0D9F"/>
    <w:p w14:paraId="2B2F0D70" w14:textId="77777777" w:rsidR="007D0D9F" w:rsidRDefault="007D0D9F" w:rsidP="007D0D9F">
      <w:r>
        <w:lastRenderedPageBreak/>
        <w:t>Esta iniciativa legislativa visa dar sequência ao trabalho desenvolvido nos últimos anos pelo GESPEA - Grupo de Trabalho para o Estudo do Património Espeleológico dos Açores e estabelecer medidas que assegurem uma adequada salvaguarda do património geológico, da diversidade biológica e dos serviços dos ecossistemas em causa, até porque este património natural integra um grande potencial de educação e sensibilização ambiental e constitui um potencial recurso económico, ligado à visitação das cavidades vulcânicas, o qual já assume um papel relevante na animação ambiental e turística em quatro ilhas dos Açores, concretamente na Terceira, São Miguel, Pico e Graciosa, onde as cinco cavidades vulcânicas abertas ao público receberam, no ano de 2017, mais de 130.000 visitantes.</w:t>
      </w:r>
    </w:p>
    <w:p w14:paraId="47235E86" w14:textId="77777777" w:rsidR="007D0D9F" w:rsidRDefault="007D0D9F" w:rsidP="007D0D9F"/>
    <w:p w14:paraId="32EE168B" w14:textId="77777777" w:rsidR="007D0D9F" w:rsidRDefault="007D0D9F" w:rsidP="007D0D9F">
      <w:r>
        <w:t>- Uma proposta de Decreto Legislativo Regional que cria o Monumento Natural do Vulcão dos Capelinhos.</w:t>
      </w:r>
    </w:p>
    <w:p w14:paraId="72E3A07E" w14:textId="77777777" w:rsidR="007D0D9F" w:rsidRDefault="007D0D9F" w:rsidP="007D0D9F"/>
    <w:p w14:paraId="2191055A" w14:textId="77777777" w:rsidR="007D0D9F" w:rsidRDefault="007D0D9F" w:rsidP="007D0D9F">
      <w:r>
        <w:t>Esta classificação como Monumento Natural fundamenta-se nos valores estéticos e naturais em presença, designadamente a singularidade geológica e a biodiversidade associadas a espécies e habitats protegidos que ocorrem na área protegida, bem como na expressiva componente cultural e histórica da erupção do vulcão dos Capelinhos, e surge no contexto do 60.º aniversário anos da erupção e do 10.º aniversário do Centro de Interpretação.</w:t>
      </w:r>
    </w:p>
    <w:p w14:paraId="5386FFAC" w14:textId="77777777" w:rsidR="007D0D9F" w:rsidRDefault="007D0D9F" w:rsidP="007D0D9F"/>
    <w:p w14:paraId="7D0B493D" w14:textId="77777777" w:rsidR="007D0D9F" w:rsidRDefault="007D0D9F" w:rsidP="007D0D9F">
      <w:r>
        <w:t>Mas se, hoje, conseguimos levar avante todas estas propostas, concretizando vários compromissos espelhados no Programa do XII Governo, tal se deve também a uma ação cada vez mais ativa da sociedade em matérias ambientais - facto que registamos com grande satisfação.</w:t>
      </w:r>
    </w:p>
    <w:p w14:paraId="3505AE9C" w14:textId="77777777" w:rsidR="007D0D9F" w:rsidRDefault="007D0D9F" w:rsidP="007D0D9F"/>
    <w:p w14:paraId="36085D7B" w14:textId="77777777" w:rsidR="007D0D9F" w:rsidRDefault="007D0D9F" w:rsidP="007D0D9F">
      <w:r>
        <w:t>De forma a estimular ainda mais este impulso cívico da sociedade açoriana, o Conselho do Governo aprovou uma proposta de Decreto Legislativo Regional que altera a composição e o funcionamento do Conselho Regional do Ambiente e do Desenvolvimento Sustentável (CRADS).</w:t>
      </w:r>
    </w:p>
    <w:p w14:paraId="79F7041B" w14:textId="77777777" w:rsidR="007D0D9F" w:rsidRDefault="007D0D9F" w:rsidP="007D0D9F"/>
    <w:p w14:paraId="14658A81" w14:textId="77777777" w:rsidR="007D0D9F" w:rsidRDefault="007D0D9F" w:rsidP="007D0D9F">
      <w:r>
        <w:t>À luz destas alterações, será possível a qualquer Açoriano acompanhar e participar na atividade deste órgão consultivo, influenciando na tomada de decisões em matéria de ambiente e desenvolvimento sustentável, desde logo mediante a apresentação de comunicações ao Plenário do CRADS, as quais podem ser feitas presencialmente nas reuniões ou remetidas ao Conselho.</w:t>
      </w:r>
    </w:p>
    <w:p w14:paraId="167F32BC" w14:textId="77777777" w:rsidR="007D0D9F" w:rsidRDefault="007D0D9F" w:rsidP="007D0D9F"/>
    <w:p w14:paraId="28CA0ECB" w14:textId="77777777" w:rsidR="007D0D9F" w:rsidRDefault="007D0D9F" w:rsidP="007D0D9F">
      <w:r>
        <w:t>Os cidadãos podem também, através do sítio do CRADS na Internet, indicar os assuntos que pretendem ver abordados nas reuniões do Conselho ou efetuar comentários e sugestões relativamente aos temas agendados para cada reunião.</w:t>
      </w:r>
    </w:p>
    <w:p w14:paraId="6AA659EF" w14:textId="77777777" w:rsidR="007D0D9F" w:rsidRDefault="007D0D9F" w:rsidP="007D0D9F"/>
    <w:p w14:paraId="0AD51E03" w14:textId="77777777" w:rsidR="007D0D9F" w:rsidRDefault="007D0D9F" w:rsidP="007D0D9F">
      <w:r>
        <w:t>Sendo certo que a cidadania ambiental se funda na consciência de que ações individuais ou locais interferem ou refletem-se, direta ou indiretamente, a uma escala global, e considerando que todos e, por maioria de razão, as entidades públicas, devem reduzir o impacte ambiental das suas próprias atividades, o Conselho do Governo aprovou linhas de orientação e medidas para a redução da produção de resíduos e a reutilização e reciclagem nos serviços públicos.</w:t>
      </w:r>
    </w:p>
    <w:p w14:paraId="2CED1A0E" w14:textId="77777777" w:rsidR="007D0D9F" w:rsidRDefault="007D0D9F" w:rsidP="007D0D9F"/>
    <w:p w14:paraId="1F0D5112" w14:textId="77777777" w:rsidR="007D0D9F" w:rsidRDefault="007D0D9F" w:rsidP="007D0D9F">
      <w:r>
        <w:lastRenderedPageBreak/>
        <w:t>Assim, os órgãos e serviços da Administração Autónoma, direta e indireta, e do Setor Público Empresarial Regional deixam de poder adquirir um conjunto de produtos e embalagens descartáveis em plástico, ao mesmo tempo que estão obrigados a disponibilizar, em todas as suas instalações, ecopontos destinados ao uso de colaboradores e utentes, bem como, onde tal seja possível, a promover a separação e compostagem dos resíduos orgânicos.</w:t>
      </w:r>
    </w:p>
    <w:p w14:paraId="5CEBEC0A" w14:textId="77777777" w:rsidR="007D0D9F" w:rsidRDefault="007D0D9F" w:rsidP="007D0D9F"/>
    <w:p w14:paraId="61CB26EE" w14:textId="77777777" w:rsidR="007D0D9F" w:rsidRDefault="007D0D9F" w:rsidP="007D0D9F">
      <w:r>
        <w:t>É para nós uma prioridade fazer com que esta estratégia seja, cada vez mais, assumida por cada Açoriano e continuemos, em conjunto, a construir uma Região assente nos pilares do desenvolvimento sustentável.</w:t>
      </w:r>
    </w:p>
    <w:p w14:paraId="49A1567F" w14:textId="77777777" w:rsidR="007D0D9F" w:rsidRDefault="007D0D9F" w:rsidP="007D0D9F"/>
    <w:p w14:paraId="4D801E67" w14:textId="4EB541B9" w:rsidR="007D0D9F" w:rsidRDefault="007D0D9F" w:rsidP="007D0D9F">
      <w:r>
        <w:t>Mas, como é óbvio, o desenvolvimento sustentável não se efetiva, unicamente, por via de medidas legislativas (como as que hoje aqui aprovámos) ou por ação dos poderes ou serviços públicos.</w:t>
      </w:r>
    </w:p>
    <w:p w14:paraId="471B2E35" w14:textId="1AA73C0A" w:rsidR="007D0D9F" w:rsidRDefault="007D0D9F" w:rsidP="007D0D9F"/>
    <w:p w14:paraId="78C88A75" w14:textId="77777777" w:rsidR="007D0D9F" w:rsidRDefault="007D0D9F" w:rsidP="007D0D9F">
      <w:r>
        <w:t>Há que relevar o papel dos cidadãos, enquanto parte integrante e determinante dos processos de desenvolvimento em curso.</w:t>
      </w:r>
    </w:p>
    <w:p w14:paraId="4074973A" w14:textId="77777777" w:rsidR="007D0D9F" w:rsidRDefault="007D0D9F" w:rsidP="007D0D9F"/>
    <w:p w14:paraId="53DA5520" w14:textId="77777777" w:rsidR="007D0D9F" w:rsidRDefault="007D0D9F" w:rsidP="007D0D9F">
      <w:r>
        <w:t>Desta forma, o Conselho do Governo criou os prémios "Espírito Verde", com o objetivo de evidenciar o compromisso com o ambiente e a sustentabilidade e premiar empresas, instituições e personalidades que se distingam pelas boas práticas ambientais, bem como na investigação, ativismo, voluntariado ou mecenato ambientais.</w:t>
      </w:r>
    </w:p>
    <w:p w14:paraId="7A008A48" w14:textId="77777777" w:rsidR="007D0D9F" w:rsidRDefault="007D0D9F" w:rsidP="007D0D9F"/>
    <w:p w14:paraId="0B82E8EE" w14:textId="41BAD9F8" w:rsidR="00A45F0B" w:rsidRPr="00730FF8" w:rsidRDefault="007D0D9F" w:rsidP="007D0D9F">
      <w:r>
        <w:t>Os prémios serão atribuídos, anualmente, a partir de 2019, nas categorias de Recursos Naturais e Qualidade Ambiental; Investigação e Desenvolvimento; Economia Circular, Verde e Azul; Educação, Comunicação e Voluntariado; e</w:t>
      </w:r>
      <w:r>
        <w:t xml:space="preserve"> Personalidade ou Instituição.</w:t>
      </w:r>
    </w:p>
    <w:sectPr w:rsidR="00A45F0B" w:rsidRPr="00730FF8" w:rsidSect="0036183A">
      <w:headerReference w:type="default" r:id="rId6"/>
      <w:footerReference w:type="default" r:id="rId7"/>
      <w:pgSz w:w="11906" w:h="16838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0A5C7" w14:textId="77777777" w:rsidR="005B0F16" w:rsidRDefault="005B0F16" w:rsidP="009F23D3">
      <w:r>
        <w:separator/>
      </w:r>
    </w:p>
  </w:endnote>
  <w:endnote w:type="continuationSeparator" w:id="0">
    <w:p w14:paraId="5928AA52" w14:textId="77777777" w:rsidR="005B0F16" w:rsidRDefault="005B0F16" w:rsidP="009F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404639"/>
      <w:docPartObj>
        <w:docPartGallery w:val="Page Numbers (Bottom of Page)"/>
        <w:docPartUnique/>
      </w:docPartObj>
    </w:sdtPr>
    <w:sdtEndPr/>
    <w:sdtContent>
      <w:p w14:paraId="0B82E8F7" w14:textId="269F5527" w:rsidR="0061455D" w:rsidRDefault="0061455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B53">
          <w:rPr>
            <w:noProof/>
          </w:rPr>
          <w:t>1</w:t>
        </w:r>
        <w:r>
          <w:fldChar w:fldCharType="end"/>
        </w:r>
      </w:p>
    </w:sdtContent>
  </w:sdt>
  <w:p w14:paraId="0B82E8F8" w14:textId="77777777" w:rsidR="0061455D" w:rsidRDefault="00614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D21F" w14:textId="77777777" w:rsidR="005B0F16" w:rsidRDefault="005B0F16" w:rsidP="009F23D3">
      <w:r>
        <w:separator/>
      </w:r>
    </w:p>
  </w:footnote>
  <w:footnote w:type="continuationSeparator" w:id="0">
    <w:p w14:paraId="3F5B6104" w14:textId="77777777" w:rsidR="005B0F16" w:rsidRDefault="005B0F16" w:rsidP="009F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E8F3" w14:textId="77777777" w:rsidR="0061455D" w:rsidRPr="0061455D" w:rsidRDefault="0061455D" w:rsidP="0061455D">
    <w:pPr>
      <w:tabs>
        <w:tab w:val="center" w:pos="4252"/>
        <w:tab w:val="right" w:pos="8504"/>
      </w:tabs>
      <w:jc w:val="center"/>
      <w:rPr>
        <w:rFonts w:eastAsia="Calibri"/>
        <w:i/>
        <w:iCs/>
        <w:szCs w:val="22"/>
      </w:rPr>
    </w:pPr>
    <w:r w:rsidRPr="0061455D">
      <w:rPr>
        <w:rFonts w:eastAsia="Calibri"/>
        <w:i/>
        <w:noProof/>
        <w:szCs w:val="22"/>
        <w:lang w:eastAsia="pt-PT"/>
      </w:rPr>
      <w:drawing>
        <wp:inline distT="0" distB="0" distL="0" distR="0" wp14:anchorId="0B82E8F9" wp14:editId="0B82E8FA">
          <wp:extent cx="342900" cy="314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2E8F4" w14:textId="77777777" w:rsidR="0061455D" w:rsidRPr="0061455D" w:rsidRDefault="0061455D" w:rsidP="0061455D">
    <w:pPr>
      <w:tabs>
        <w:tab w:val="center" w:pos="4252"/>
        <w:tab w:val="right" w:pos="8504"/>
      </w:tabs>
      <w:jc w:val="center"/>
      <w:rPr>
        <w:rFonts w:eastAsia="Calibri"/>
        <w:b/>
        <w:szCs w:val="22"/>
      </w:rPr>
    </w:pPr>
    <w:r w:rsidRPr="0061455D">
      <w:rPr>
        <w:rFonts w:eastAsia="Calibri"/>
        <w:b/>
        <w:szCs w:val="22"/>
      </w:rPr>
      <w:t>REGIÃO AUTÓNOMA DOS AÇORES</w:t>
    </w:r>
  </w:p>
  <w:p w14:paraId="0B82E8F5" w14:textId="77777777" w:rsidR="0061455D" w:rsidRPr="0061455D" w:rsidRDefault="0061455D" w:rsidP="0061455D">
    <w:pPr>
      <w:tabs>
        <w:tab w:val="center" w:pos="4252"/>
        <w:tab w:val="right" w:pos="8504"/>
      </w:tabs>
      <w:jc w:val="center"/>
      <w:rPr>
        <w:rFonts w:eastAsia="Calibri"/>
        <w:b/>
        <w:szCs w:val="22"/>
      </w:rPr>
    </w:pPr>
    <w:r w:rsidRPr="0061455D">
      <w:rPr>
        <w:rFonts w:eastAsia="Calibri"/>
        <w:b/>
        <w:szCs w:val="22"/>
      </w:rPr>
      <w:t>PRESIDÊNCIA DO GOVERNO</w:t>
    </w:r>
  </w:p>
  <w:p w14:paraId="0B82E8F6" w14:textId="77777777" w:rsidR="009F23D3" w:rsidRDefault="009F23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3C"/>
    <w:rsid w:val="001A0720"/>
    <w:rsid w:val="001C2EBC"/>
    <w:rsid w:val="001F16B7"/>
    <w:rsid w:val="00255B53"/>
    <w:rsid w:val="003022F9"/>
    <w:rsid w:val="00336BE6"/>
    <w:rsid w:val="00337DAD"/>
    <w:rsid w:val="00343756"/>
    <w:rsid w:val="00343898"/>
    <w:rsid w:val="0036183A"/>
    <w:rsid w:val="003C3509"/>
    <w:rsid w:val="0041663C"/>
    <w:rsid w:val="005B0F16"/>
    <w:rsid w:val="005C5869"/>
    <w:rsid w:val="0061455D"/>
    <w:rsid w:val="00730FF8"/>
    <w:rsid w:val="0079100F"/>
    <w:rsid w:val="007D0D9F"/>
    <w:rsid w:val="007F636D"/>
    <w:rsid w:val="007F780C"/>
    <w:rsid w:val="0095426A"/>
    <w:rsid w:val="009A5CE4"/>
    <w:rsid w:val="009F23D3"/>
    <w:rsid w:val="00A21A50"/>
    <w:rsid w:val="00A23595"/>
    <w:rsid w:val="00A45F0B"/>
    <w:rsid w:val="00A97380"/>
    <w:rsid w:val="00B00666"/>
    <w:rsid w:val="00C32EC6"/>
    <w:rsid w:val="00DF3EDD"/>
    <w:rsid w:val="00E97A15"/>
    <w:rsid w:val="00EC0782"/>
    <w:rsid w:val="00F52213"/>
    <w:rsid w:val="00F83496"/>
    <w:rsid w:val="00FD5B1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E8C4"/>
  <w15:docId w15:val="{04170E0E-3A9D-4388-BDA0-BC5C9A9C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F23D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23D3"/>
  </w:style>
  <w:style w:type="paragraph" w:styleId="Rodap">
    <w:name w:val="footer"/>
    <w:basedOn w:val="Normal"/>
    <w:link w:val="RodapCarter"/>
    <w:uiPriority w:val="99"/>
    <w:unhideWhenUsed/>
    <w:rsid w:val="009F23D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23D3"/>
  </w:style>
  <w:style w:type="paragraph" w:styleId="Textodebalo">
    <w:name w:val="Balloon Text"/>
    <w:basedOn w:val="Normal"/>
    <w:link w:val="TextodebaloCarter"/>
    <w:uiPriority w:val="99"/>
    <w:semiHidden/>
    <w:unhideWhenUsed/>
    <w:rsid w:val="009F23D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1903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CPS. Oliveira</dc:creator>
  <cp:lastModifiedBy>Maria JAM. Botelho</cp:lastModifiedBy>
  <cp:revision>4</cp:revision>
  <dcterms:created xsi:type="dcterms:W3CDTF">2018-07-02T17:15:00Z</dcterms:created>
  <dcterms:modified xsi:type="dcterms:W3CDTF">2018-07-02T17:16:00Z</dcterms:modified>
</cp:coreProperties>
</file>