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A" w:rsidRPr="00AB77BA" w:rsidRDefault="00AB77BA" w:rsidP="006F083C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BA">
        <w:rPr>
          <w:rFonts w:ascii="Times New Roman" w:hAnsi="Times New Roman" w:cs="Times New Roman"/>
          <w:b/>
          <w:sz w:val="24"/>
          <w:szCs w:val="24"/>
        </w:rPr>
        <w:t>INTERPELAÇÃO AO GOVERNO PRO</w:t>
      </w:r>
      <w:r>
        <w:rPr>
          <w:rFonts w:ascii="Times New Roman" w:hAnsi="Times New Roman" w:cs="Times New Roman"/>
          <w:b/>
          <w:sz w:val="24"/>
          <w:szCs w:val="24"/>
        </w:rPr>
        <w:t xml:space="preserve">MOVIDA PELO PARTIDO SOCIALISTA </w:t>
      </w:r>
      <w:r w:rsidRPr="00AB77BA">
        <w:rPr>
          <w:rFonts w:ascii="Times New Roman" w:hAnsi="Times New Roman" w:cs="Times New Roman"/>
          <w:b/>
          <w:sz w:val="24"/>
          <w:szCs w:val="24"/>
        </w:rPr>
        <w:t>SOBRE O PROTOCOLO DE ENTENDIMENTO E COOPERAÇÃO ENTRE O GOVERNO DOS AÇORES E O GOVERNO DA REPÚBLICA</w:t>
      </w:r>
      <w:bookmarkStart w:id="0" w:name="_GoBack"/>
      <w:bookmarkEnd w:id="0"/>
    </w:p>
    <w:p w:rsidR="00AB77BA" w:rsidRPr="00E67B1B" w:rsidRDefault="00AB77BA" w:rsidP="00AB77BA">
      <w:pPr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67B1B" w:rsidRPr="00E67B1B" w:rsidRDefault="00E67B1B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74A28" w:rsidRPr="00E67B1B" w:rsidRDefault="00AB77BA" w:rsidP="00E67B1B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Horta, 4</w:t>
      </w:r>
      <w:r w:rsidR="00974A28" w:rsidRPr="00E67B1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setembro</w:t>
      </w:r>
      <w:r w:rsidR="00974A28" w:rsidRPr="00E67B1B">
        <w:rPr>
          <w:rFonts w:ascii="Times New Roman" w:hAnsi="Times New Roman" w:cs="Times New Roman"/>
          <w:b/>
          <w:sz w:val="24"/>
          <w:szCs w:val="24"/>
        </w:rPr>
        <w:t xml:space="preserve"> de 2012</w:t>
      </w:r>
    </w:p>
    <w:p w:rsidR="00974A28" w:rsidRPr="00E67B1B" w:rsidRDefault="00974A2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4EE8" w:rsidRPr="00E67B1B" w:rsidRDefault="00914EE8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7B1B" w:rsidRDefault="00E67B1B" w:rsidP="00E67B1B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B1B">
        <w:rPr>
          <w:rFonts w:ascii="Times New Roman" w:hAnsi="Times New Roman" w:cs="Times New Roman"/>
          <w:b/>
          <w:i/>
          <w:sz w:val="24"/>
          <w:szCs w:val="24"/>
        </w:rPr>
        <w:t>Intervenção do Presidente do Governo Regional dos Açores, Carlos César</w:t>
      </w:r>
    </w:p>
    <w:p w:rsidR="00AB77BA" w:rsidRPr="00E67B1B" w:rsidRDefault="00AB77BA" w:rsidP="00E67B1B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7B1B" w:rsidRDefault="00E67B1B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Muitos açorianos perguntam-me: temos uma crise nas finanças públicas regionais? A minha resposta é: não, não temos. O próximo governo não terá esse bloqueio.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Muitos dos que ainda não foram diretamente prejudicados, perguntam-me: já chegaram à Região os efeitos da crise económica? Das dificuldades de financiamento da banca? Das dificuldades para os empresários, para as empresas e para os empregos? Respondo-lhes: sim.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Tal como este governo, o próximo governo terá de trabalhar muito e inovar para minimizar esses aspetos negativos, embora, infelizmente, a maior parte dessas medidas não dependam do Governo Regional.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Não vivemos, no que toca às finanças públicas, numa situação de abundância ou muito menos de forma folgada. Se vivêssemos nessa abundância, estariam resolvidos muitos dos problemas dos nossos empresários e das nossas famílias, que têm de esperar por uma melhor resolução.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Mesmo assim, graças às disponibilidades financeiras que conseguimos preservar, temos conseguido muitos meios para apoiar a vida das nossas famílias e a atividade e capacidade empregadora das nossas empresas.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Justamente, o que o relatório da Inspeção Geral de Finanças, tal como o da Direção Geral do Orçamento, tal como as apreciações no âmbito da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>” e de uma diversidade de organismos dizem, é que a nossa gestão tem sido positiva. A nossa dívida está contida, enquanto a do país está sempre a aumentar e até aumentou significativamente com o Governo da República atualmente em funções.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Na verdade, enquanto nós não contribuímos para a dívida e o aumento do défice no país, o governo de Lisboa, com as medidas que toma e que cá chegam, tem, ao invés, contribuído para o agravamento entre nós, nas nossas ilhas, da crise e do desemprego.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Só pessoas desesperadas, por os açorianos não lhes darem a atenção que queriam e que pediam, é que podem dizer a sério que a crise que nos chegou é culpa do Governo dos Açores.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Como já foi aqui caricaturado, para o PSD parece que, em todo o lado, tudo o que se passou é culpa do PS-Açores. Qualquer pessoa séria, 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séria!,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 xml:space="preserve"> sabe bem que a crise chegou à Europa por efeito da crise financeira nos Estados Unidos. Que chegou a </w:t>
      </w:r>
      <w:r w:rsidRPr="00AB77BA">
        <w:rPr>
          <w:rFonts w:ascii="Times New Roman" w:hAnsi="Times New Roman" w:cs="Times New Roman"/>
          <w:sz w:val="24"/>
          <w:szCs w:val="24"/>
        </w:rPr>
        <w:lastRenderedPageBreak/>
        <w:t>Portugal no contexto geral da crise das dívidas soberanas. Que prossegue em Portugal enquanto não houver uma solução europeia. E que, evidentemente, se repercute nos Açores enquanto a crise não aliviar no continente, no país e na Europa de que dependemos e com os quais nos relacionamos.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Por que razão assinamos um acordo com o Governo da República? O memorando que acordamos com o Governo da República, anunciado em comunicado do Conselho do Governo e que levamos ao conhecimento do parlamento através da sua comissão especializada de Economia, teria de ser, em qualquer caso, celebrado. E teria de ser por duas circunstâncias aconselháveis: não só porque nesta fase era melhor enquadrar no modelo e no nível nacional o pagamento da dívida que os Açores tinham de fazer, como, por outro lado, era inadiável definir o papel e as obrigações dos Açores no âmbito da contratação feita por Portugal há pouco mais de um ano com 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>”.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Porque escolhemos recorrer, tal como o Estado tem feito para si, à autorização de recursos financeiros decorrentes da emissão de obrigações de tesouro do Estado, para pagarmos agora a dívida vencida dos Açores e ficarmos até 2016 sem pagamentos a fazer? Por duas razões: primeiro, porque Portugal, e com ele e por causa dele, a generalidade das suas entidades públicas, incluindo as regiões autónomas, deixaram de ter acesso direto, em boas condições, aos mercados financeiros externos. E segundo, porque havendo embora a possibilidade de recorrer a alguma banca, este é o crédito atualmente disponível em melhores condições de taxas e de prazos.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O Estado, porém, não nos fez nenhum favor. Aliás, só nos prejudicou com o seu colapso. A Região Autónoma dos Açores limitou-se a escolher, e bem, a forma mais barata de ter dinheiro. Sem aumentar a sua dívida e sem aumentar um cêntimo o seu défice e a sua dívida, bem como a dívida ou o défice do país.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Há outra circunstância que exigia passar a 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papel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 xml:space="preserve"> memorando. Que era a de saber o papel e a participação da Região no programa nacional de consolidação orçamental e financeira acordado com 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>”. Era isso que era preciso aclarar e que exigia ao Primeiro-Ministro em julho de 2011. Sabemos, e temos sofrido com isso, que há medidas nacionais que nos atingem negativamente porque não há forma de as evitar e são competências próprias do Governo da República. Mas era preciso saber se, como aconteceu na Madeira, para cumprirmos os mesmo objetivos, iriamos ter o programa de austeridade nacional da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>”, mais ainda outro programa de austeridade regional a somar. Ora, tal como nós queríamos e como conseguimos, por mérito próprio, passamos a ter, com o memorando agora assinado, menos e não mais medidas que as previstas no memorando da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>” para a administração central. E, afinal, todas as medidas com que concord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77BA">
        <w:rPr>
          <w:rFonts w:ascii="Times New Roman" w:hAnsi="Times New Roman" w:cs="Times New Roman"/>
          <w:sz w:val="24"/>
          <w:szCs w:val="24"/>
        </w:rPr>
        <w:t xml:space="preserve">mos e de que falam neste memorando já tinham 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sido ou tomadas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 xml:space="preserve"> nos Açores ou já estão a ser aplicadas há tempo. É por isso que o relatório da Inspeção Geral de Finanças conclui, passo a citar: “analisando os vários riscos orçamentais, a situação financeira e orçamental da administração regional dos Açores não comporta riscos que impliquem apoios significativos”.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A este acordo, alguma oposição, em vésperas de eleições, respondeu, para citar o Primeiro-ministro, numa histeria. Nós, comprovadamente, respondemos que se trata, no contexto nacional, de uma vitória. Sim, de uma vitória dos Açores e de um reconhecimento da boa gestão financeira do Governo Regional do Partido Socialista.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lastRenderedPageBreak/>
        <w:t>Mesmo em aspetos mais sensíveis o memorando acordado é claro e insere-se no nosso entendimento. O memorando é claro em que benefícios sociais, como os complementos de pensão ou de abono de família para os açorianos, como a remuneração complementar ou a remuneração compensatória dos funcionários públicos – em que o PSD esteve contra – continuarão em vigor. Mas nós concordámos que novas medidas compensatórias na função pública não devem ser tomadas para não afetar o equilíbrio sensível existente. O memorando replica o que o memorando da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 xml:space="preserve">” já obriga todo o país e já nos obrigava, nos Açores, a não fazer mais parcerias público-privadas. Ora, todos nós sabemos que não íamos fazer mais parceiras público-privadas.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O memorando isenta os Açores da diminuição de 2% do número de funcionários públicos, como era determinado no memorando da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>”, apenas referindo o esforço em curso de diminuir o número de funcionários públicos ou o peso empregador da função pública. Ou seja, é mentira que exista qualquer perspetiva de despedimentos na função pública. Ou seja, basta admitir menos funcionários públicos do que aqueles que vão para a aposentação para diminuir o número de funcionários públicos na nossa região.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O memorando lembra-nos a obrigação, que é agora europeia, de cumprir os objetivos de equilíbrio financeiro, mas deixa claramente ao nosso critério a natureza ou a intensidade das medidas aconselháveis para esse efeito.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O memorando não afeta a nossa política fiscal própria e a própria Lei de Finanças Regionais, cuja revisão se deverá confinar aos acertos com a nova lei de enquadramento orçamental e até com a introdução de normas mais favoráveis aos Açores, quer quanto ao endividamento, quer quanto a regras de equivalência orçamental.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Mas, afinal, em que é que o memorando afeta a nossa Autonomia? Em nos obrigarmos a enviar para apreciação técnica documentos prisionais da despesa, como o plano anual ou orçamento, antes de serem submetidos à Assembleia? Claro que não. Mas é assim que estamos todos na Europa, a fazer a integração financeira e orçamental. Essa é a prática de reporte financeiro recíproco que já vigora e que é mesmo metodologicamente natural e indispensável. Toda a gente faz isso a toda a gente, em termos orçamentais e financeiros. É assim que devemos fazer, aliás, de acordo com a Lei de Finanças Regionais que está em vigor há anos. Como se pode o país comprometer em atingir um determinado nível de défice se não souber antecipadamente o défice previsto, por exemplo, das administrações regionais?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O exercício da nossa autonomia já é assim, não só no país, como na Europa. Neste, como em outros aspetos, até para decisões, como bem sabemos, por exemplo, para baixar as tarifas aéreas.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Só o desconhecimento total da função governativa no espaço em que vivemos, ou a mais primária das demagogias, é que pode levar, mesmo em vésperas de eleições, a contestar que não só tem que ser assim como há muito que é assim.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De resto, a região só está obrigada a assegurar uma situação orçamental próxima do equilíbrio. Todos na Europa estão obrigados, atualmente, a isso. Ora, da apreciação técnica dos nossos documentos previsionais até podem resultar divergências, mas a verdade é que, havendo esse equilíbrio, o parlamento e a região poderão na mesma </w:t>
      </w:r>
      <w:r w:rsidRPr="00AB77BA">
        <w:rPr>
          <w:rFonts w:ascii="Times New Roman" w:hAnsi="Times New Roman" w:cs="Times New Roman"/>
          <w:sz w:val="24"/>
          <w:szCs w:val="24"/>
        </w:rPr>
        <w:lastRenderedPageBreak/>
        <w:t xml:space="preserve">aprovar esse Plano e esse Orçamento. E, portanto, não está em causa um poder que é do parlamento, que é da região e que usaremos como melhor entendermos para atingir os objetivos gerais.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Não há perda de Autonomia com este memorando. Perda de Autonomia houve, sim, para o país e para todos nós quando o país ficou nas mãos do Fundo Monetário Internacional e da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 xml:space="preserve">”. Perda de Autonomia do país e da região certamente haverá quando a Europa fizer a única coisa que pode fazer para se salvar e que andamos todos a reclamar: unir-se e passar a ter um governo eleito, uma governação económica, uma governação financeira, uma governação fiscal, uma governação monetária, um estado social padrão e uma entidade de defesa e segurança comuns. Aí, sim, todos dependeremos mais uns dos outros, mas todos e cada um de nós seremos mais fortes.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Senhor Presidente, senhoras e senhores deputados, o relatório da Inspeção Geral de Finanças demonstra, como referem todos os analistas e órgãos de comunicação social independentes, dentro e fora da região, o bom desempenho relativo dos Açores.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Quanto aos chamados riscos conjunturais, o risco apontado pela IGF dos empréstimos vencidos já foi ultrapassado, e bem. O risco, segundo a IGF, dos avales concedidos, ou seja, do sector público cumprir as suas prestações, existe, é claro, por definição. Mas a verdade é que nunca aconteceu e pesem embora as situações dos hospitais, a </w:t>
      </w:r>
      <w:proofErr w:type="spellStart"/>
      <w:r w:rsidRPr="00AB77BA">
        <w:rPr>
          <w:rFonts w:ascii="Times New Roman" w:hAnsi="Times New Roman" w:cs="Times New Roman"/>
          <w:sz w:val="24"/>
          <w:szCs w:val="24"/>
        </w:rPr>
        <w:t>Saudaçor</w:t>
      </w:r>
      <w:proofErr w:type="spellEnd"/>
      <w:r w:rsidRPr="00AB77BA">
        <w:rPr>
          <w:rFonts w:ascii="Times New Roman" w:hAnsi="Times New Roman" w:cs="Times New Roman"/>
          <w:sz w:val="24"/>
          <w:szCs w:val="24"/>
        </w:rPr>
        <w:t xml:space="preserve">, por exemplo, só terá encargos significativos a cumprir em 2020.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Aliás, neste sector, que tenho chamado de o nosso “calcanhar de Aquiles”, o risco da dívida de curto prazo na saúde a fornecedores desapareceria, num instante, se o Governo da República nos pagasse o que os subsistemas devem aos hospitais e centros de saúde da região.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O risco a que a IGF alude, de dívida ao Serviço Nacional de Saúde, também já foi aqui explicado neste Parlamento e sê-lo-á, com certeza, em nova oportunidade. O risco das </w:t>
      </w:r>
      <w:proofErr w:type="spellStart"/>
      <w:r w:rsidRPr="00AB77BA">
        <w:rPr>
          <w:rFonts w:ascii="Times New Roman" w:hAnsi="Times New Roman" w:cs="Times New Roman"/>
          <w:sz w:val="24"/>
          <w:szCs w:val="24"/>
        </w:rPr>
        <w:t>PPP’s</w:t>
      </w:r>
      <w:proofErr w:type="spellEnd"/>
      <w:r w:rsidRPr="00AB77BA">
        <w:rPr>
          <w:rFonts w:ascii="Times New Roman" w:hAnsi="Times New Roman" w:cs="Times New Roman"/>
          <w:sz w:val="24"/>
          <w:szCs w:val="24"/>
        </w:rPr>
        <w:t xml:space="preserve"> resume-se, afinal, à possibilidade de, por via da alteração do trânsito previsto, haver uma alteração dos pagamentos a efetuar. Nenhum outro risco é referido pela Inspeção Geral de Finanças e, por isso, a própria Inspeção Geral de Finanças concluiu que a situação dos Açores não comporta riscos significativos.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Senhoras e senhores deputados, em verdade e em conclusão: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Primeiro: o relatório da Inspeção Geral de Finanças exclui um risco financeiro ou orçamental significativo nos Açores que requeira apoios.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 xml:space="preserve">Segundo: o relatório da Direção Geral do Orçamento aclara que o risco de derrapagem não existe, pois apesar da quebra da receita fiscal, em resultado das medidas do Governo da República, o Governo Regional tem ajustado a sua despesa e vai ter receitas de fundos comunitários em montante superior ao previsto.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Terceiro: o memorando de entendimento Lisboa/Açores resolveu compromissos da Região até 2016, libertando os futuros governos, e esclareceu, preto no branco, que nos Açores não são necessárias as medidas que o Governo da República tem, impostas para a administração central pela “</w:t>
      </w:r>
      <w:proofErr w:type="gramStart"/>
      <w:r w:rsidRPr="00AB77BA">
        <w:rPr>
          <w:rFonts w:ascii="Times New Roman" w:hAnsi="Times New Roman" w:cs="Times New Roman"/>
          <w:sz w:val="24"/>
          <w:szCs w:val="24"/>
        </w:rPr>
        <w:t>troika</w:t>
      </w:r>
      <w:proofErr w:type="gramEnd"/>
      <w:r w:rsidRPr="00AB77BA">
        <w:rPr>
          <w:rFonts w:ascii="Times New Roman" w:hAnsi="Times New Roman" w:cs="Times New Roman"/>
          <w:sz w:val="24"/>
          <w:szCs w:val="24"/>
        </w:rPr>
        <w:t xml:space="preserve">”, e muito menos as da Madeira. 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lastRenderedPageBreak/>
        <w:t>Nos Açores não se perde qualquer das competências autonómicas e constitucionais. A conclusão é incontornável, por mais que custe à oposição e, em particular, ao PSD. Isso foi e é assim porque a nossa situação financeira é melhor e porque o Governo dos Açores governou e governa melhor que os governos da Madeira e os governos do país.</w:t>
      </w: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77BA" w:rsidRPr="00AB77BA" w:rsidRDefault="00AB77BA" w:rsidP="00AB77BA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77BA">
        <w:rPr>
          <w:rFonts w:ascii="Times New Roman" w:hAnsi="Times New Roman" w:cs="Times New Roman"/>
          <w:sz w:val="24"/>
          <w:szCs w:val="24"/>
        </w:rPr>
        <w:t>Muito obrigado.</w:t>
      </w:r>
    </w:p>
    <w:p w:rsidR="00F72F7C" w:rsidRPr="00E67B1B" w:rsidRDefault="00F72F7C" w:rsidP="00E67B1B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72F7C" w:rsidRPr="00E67B1B" w:rsidSect="006852F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BA" w:rsidRDefault="00AB77BA" w:rsidP="00C62684">
      <w:pPr>
        <w:spacing w:before="0" w:after="0"/>
      </w:pPr>
      <w:r>
        <w:separator/>
      </w:r>
    </w:p>
  </w:endnote>
  <w:endnote w:type="continuationSeparator" w:id="0">
    <w:p w:rsidR="00AB77BA" w:rsidRDefault="00AB77BA" w:rsidP="00C626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BA" w:rsidRDefault="00AB77B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83C">
      <w:rPr>
        <w:noProof/>
      </w:rPr>
      <w:t>1</w:t>
    </w:r>
    <w:r>
      <w:rPr>
        <w:noProof/>
      </w:rPr>
      <w:fldChar w:fldCharType="end"/>
    </w:r>
  </w:p>
  <w:p w:rsidR="00AB77BA" w:rsidRDefault="00AB77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BA" w:rsidRDefault="00AB77BA" w:rsidP="00C62684">
      <w:pPr>
        <w:spacing w:before="0" w:after="0"/>
      </w:pPr>
      <w:r>
        <w:separator/>
      </w:r>
    </w:p>
  </w:footnote>
  <w:footnote w:type="continuationSeparator" w:id="0">
    <w:p w:rsidR="00AB77BA" w:rsidRDefault="00AB77BA" w:rsidP="00C626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0C7B"/>
    <w:multiLevelType w:val="multilevel"/>
    <w:tmpl w:val="7850384E"/>
    <w:lvl w:ilvl="0">
      <w:start w:val="1"/>
      <w:numFmt w:val="decimal"/>
      <w:pStyle w:val="capitulos"/>
      <w:lvlText w:val="%1."/>
      <w:lvlJc w:val="left"/>
      <w:pPr>
        <w:ind w:left="720" w:hanging="360"/>
      </w:pPr>
      <w:rPr>
        <w:b/>
        <w:bCs/>
        <w:color w:val="00000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CC"/>
    <w:rsid w:val="00005058"/>
    <w:rsid w:val="00031CDD"/>
    <w:rsid w:val="0006504E"/>
    <w:rsid w:val="00087603"/>
    <w:rsid w:val="000B4B0D"/>
    <w:rsid w:val="000B6403"/>
    <w:rsid w:val="000B6E32"/>
    <w:rsid w:val="000C5DD1"/>
    <w:rsid w:val="000E1F90"/>
    <w:rsid w:val="000E50E6"/>
    <w:rsid w:val="00112665"/>
    <w:rsid w:val="00133CC6"/>
    <w:rsid w:val="00154D02"/>
    <w:rsid w:val="001878BA"/>
    <w:rsid w:val="001878D6"/>
    <w:rsid w:val="001A28EE"/>
    <w:rsid w:val="001E16C4"/>
    <w:rsid w:val="00201B6B"/>
    <w:rsid w:val="002029C0"/>
    <w:rsid w:val="0020395F"/>
    <w:rsid w:val="00203B3B"/>
    <w:rsid w:val="00234910"/>
    <w:rsid w:val="00236D10"/>
    <w:rsid w:val="00252651"/>
    <w:rsid w:val="0025682B"/>
    <w:rsid w:val="00260E85"/>
    <w:rsid w:val="00275554"/>
    <w:rsid w:val="00282C0E"/>
    <w:rsid w:val="00291DD4"/>
    <w:rsid w:val="002A0C21"/>
    <w:rsid w:val="002A13AA"/>
    <w:rsid w:val="002A4992"/>
    <w:rsid w:val="002C3D03"/>
    <w:rsid w:val="002C3FC4"/>
    <w:rsid w:val="002C6222"/>
    <w:rsid w:val="002D324C"/>
    <w:rsid w:val="00301A3D"/>
    <w:rsid w:val="00304DBD"/>
    <w:rsid w:val="003159FD"/>
    <w:rsid w:val="00317C87"/>
    <w:rsid w:val="00320E82"/>
    <w:rsid w:val="00325523"/>
    <w:rsid w:val="003319F4"/>
    <w:rsid w:val="00342E42"/>
    <w:rsid w:val="00355F7A"/>
    <w:rsid w:val="003700A7"/>
    <w:rsid w:val="00377F9E"/>
    <w:rsid w:val="0039046E"/>
    <w:rsid w:val="003A3AD1"/>
    <w:rsid w:val="003B22D2"/>
    <w:rsid w:val="003D1542"/>
    <w:rsid w:val="003F27B3"/>
    <w:rsid w:val="004116CC"/>
    <w:rsid w:val="0041478D"/>
    <w:rsid w:val="00446173"/>
    <w:rsid w:val="00483169"/>
    <w:rsid w:val="00490E54"/>
    <w:rsid w:val="004A4D8C"/>
    <w:rsid w:val="004C175A"/>
    <w:rsid w:val="004C32CD"/>
    <w:rsid w:val="004C3E22"/>
    <w:rsid w:val="004E47BA"/>
    <w:rsid w:val="00505DA8"/>
    <w:rsid w:val="00546D70"/>
    <w:rsid w:val="005672BC"/>
    <w:rsid w:val="00584177"/>
    <w:rsid w:val="005A6F09"/>
    <w:rsid w:val="005A7368"/>
    <w:rsid w:val="005C5093"/>
    <w:rsid w:val="005D7563"/>
    <w:rsid w:val="005E41A9"/>
    <w:rsid w:val="005E56BF"/>
    <w:rsid w:val="005F205E"/>
    <w:rsid w:val="006025DB"/>
    <w:rsid w:val="00631F78"/>
    <w:rsid w:val="00644D35"/>
    <w:rsid w:val="0065552C"/>
    <w:rsid w:val="006852FD"/>
    <w:rsid w:val="006B491F"/>
    <w:rsid w:val="006B7A9A"/>
    <w:rsid w:val="006C2FF5"/>
    <w:rsid w:val="006E2BFE"/>
    <w:rsid w:val="006F083C"/>
    <w:rsid w:val="0073361D"/>
    <w:rsid w:val="0075228C"/>
    <w:rsid w:val="0075349E"/>
    <w:rsid w:val="0079065C"/>
    <w:rsid w:val="00794BD8"/>
    <w:rsid w:val="00797039"/>
    <w:rsid w:val="007D334E"/>
    <w:rsid w:val="007D430B"/>
    <w:rsid w:val="007D6DFD"/>
    <w:rsid w:val="00803732"/>
    <w:rsid w:val="008135C6"/>
    <w:rsid w:val="00814A5F"/>
    <w:rsid w:val="00823CC6"/>
    <w:rsid w:val="00834EF6"/>
    <w:rsid w:val="00835DF5"/>
    <w:rsid w:val="00844F19"/>
    <w:rsid w:val="0085134B"/>
    <w:rsid w:val="008544B3"/>
    <w:rsid w:val="00872A4C"/>
    <w:rsid w:val="00882DE5"/>
    <w:rsid w:val="0089551F"/>
    <w:rsid w:val="00897AA9"/>
    <w:rsid w:val="008B0C22"/>
    <w:rsid w:val="008C1BAB"/>
    <w:rsid w:val="008E6D90"/>
    <w:rsid w:val="008F017A"/>
    <w:rsid w:val="00906251"/>
    <w:rsid w:val="00914EE8"/>
    <w:rsid w:val="00930FB5"/>
    <w:rsid w:val="009330D5"/>
    <w:rsid w:val="009445BD"/>
    <w:rsid w:val="00961DA5"/>
    <w:rsid w:val="00974A28"/>
    <w:rsid w:val="009963A8"/>
    <w:rsid w:val="00997ECD"/>
    <w:rsid w:val="009A194E"/>
    <w:rsid w:val="009B629F"/>
    <w:rsid w:val="009D1737"/>
    <w:rsid w:val="00A00F08"/>
    <w:rsid w:val="00A04884"/>
    <w:rsid w:val="00A33B48"/>
    <w:rsid w:val="00A36B38"/>
    <w:rsid w:val="00A74D18"/>
    <w:rsid w:val="00A82373"/>
    <w:rsid w:val="00A95F1C"/>
    <w:rsid w:val="00AA6996"/>
    <w:rsid w:val="00AB6A5D"/>
    <w:rsid w:val="00AB77BA"/>
    <w:rsid w:val="00AC7F93"/>
    <w:rsid w:val="00B02B50"/>
    <w:rsid w:val="00B13F1B"/>
    <w:rsid w:val="00B37727"/>
    <w:rsid w:val="00B63C0B"/>
    <w:rsid w:val="00B70527"/>
    <w:rsid w:val="00B759B0"/>
    <w:rsid w:val="00B92389"/>
    <w:rsid w:val="00BA3494"/>
    <w:rsid w:val="00BB1C81"/>
    <w:rsid w:val="00BD0D4F"/>
    <w:rsid w:val="00BD7D2F"/>
    <w:rsid w:val="00BE09B9"/>
    <w:rsid w:val="00BE5B24"/>
    <w:rsid w:val="00BE5C0F"/>
    <w:rsid w:val="00BE7B31"/>
    <w:rsid w:val="00C03F4C"/>
    <w:rsid w:val="00C16FE8"/>
    <w:rsid w:val="00C3119E"/>
    <w:rsid w:val="00C50568"/>
    <w:rsid w:val="00C51691"/>
    <w:rsid w:val="00C52177"/>
    <w:rsid w:val="00C54F50"/>
    <w:rsid w:val="00C62684"/>
    <w:rsid w:val="00C914B2"/>
    <w:rsid w:val="00C94F7B"/>
    <w:rsid w:val="00C9559D"/>
    <w:rsid w:val="00CA0B68"/>
    <w:rsid w:val="00CB28CD"/>
    <w:rsid w:val="00CC1655"/>
    <w:rsid w:val="00CD28FA"/>
    <w:rsid w:val="00CD4933"/>
    <w:rsid w:val="00CE0ADD"/>
    <w:rsid w:val="00CF08D5"/>
    <w:rsid w:val="00CF149A"/>
    <w:rsid w:val="00D14C23"/>
    <w:rsid w:val="00D318F8"/>
    <w:rsid w:val="00D51A69"/>
    <w:rsid w:val="00D70434"/>
    <w:rsid w:val="00D83637"/>
    <w:rsid w:val="00DB4163"/>
    <w:rsid w:val="00DD270A"/>
    <w:rsid w:val="00DD3D99"/>
    <w:rsid w:val="00E12614"/>
    <w:rsid w:val="00E12F36"/>
    <w:rsid w:val="00E1382F"/>
    <w:rsid w:val="00E1399E"/>
    <w:rsid w:val="00E21C76"/>
    <w:rsid w:val="00E421E7"/>
    <w:rsid w:val="00E428F3"/>
    <w:rsid w:val="00E67B1B"/>
    <w:rsid w:val="00EB668E"/>
    <w:rsid w:val="00EC384D"/>
    <w:rsid w:val="00EC38BF"/>
    <w:rsid w:val="00ED6411"/>
    <w:rsid w:val="00EE0D11"/>
    <w:rsid w:val="00EF1602"/>
    <w:rsid w:val="00F12935"/>
    <w:rsid w:val="00F1666C"/>
    <w:rsid w:val="00F434DE"/>
    <w:rsid w:val="00F46AFC"/>
    <w:rsid w:val="00F5147D"/>
    <w:rsid w:val="00F52887"/>
    <w:rsid w:val="00F72F7C"/>
    <w:rsid w:val="00F74788"/>
    <w:rsid w:val="00F813B7"/>
    <w:rsid w:val="00FA5432"/>
    <w:rsid w:val="00FB3312"/>
    <w:rsid w:val="00FB3465"/>
    <w:rsid w:val="00FD3877"/>
    <w:rsid w:val="00FD3C11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C"/>
    <w:pPr>
      <w:spacing w:before="120" w:after="600"/>
      <w:ind w:left="714" w:hanging="357"/>
      <w:jc w:val="both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qFormat/>
    <w:locked/>
    <w:rsid w:val="00390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4116C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nhideWhenUsed/>
    <w:qFormat/>
    <w:locked/>
    <w:rsid w:val="00390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nhideWhenUsed/>
    <w:qFormat/>
    <w:locked/>
    <w:rsid w:val="00390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nhideWhenUsed/>
    <w:qFormat/>
    <w:locked/>
    <w:rsid w:val="00390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nhideWhenUsed/>
    <w:qFormat/>
    <w:locked/>
    <w:rsid w:val="00390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4116CC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116CC"/>
    <w:pPr>
      <w:spacing w:before="100" w:beforeAutospacing="1" w:after="100" w:afterAutospacing="1" w:line="312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itaoHTML">
    <w:name w:val="HTML Cite"/>
    <w:basedOn w:val="Tipodeletrapredefinidodopargrafo"/>
    <w:uiPriority w:val="99"/>
    <w:rsid w:val="004116CC"/>
    <w:rPr>
      <w:i/>
      <w:iCs/>
    </w:rPr>
  </w:style>
  <w:style w:type="paragraph" w:styleId="Cabealho">
    <w:name w:val="header"/>
    <w:basedOn w:val="Normal"/>
    <w:link w:val="Cabealho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62684"/>
  </w:style>
  <w:style w:type="paragraph" w:styleId="Rodap">
    <w:name w:val="footer"/>
    <w:basedOn w:val="Normal"/>
    <w:link w:val="Rodap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62684"/>
  </w:style>
  <w:style w:type="paragraph" w:styleId="Textodebalo">
    <w:name w:val="Balloon Text"/>
    <w:basedOn w:val="Normal"/>
    <w:link w:val="TextodebaloCarcter"/>
    <w:uiPriority w:val="99"/>
    <w:semiHidden/>
    <w:rsid w:val="00C626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6268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semiHidden/>
    <w:rsid w:val="003159FD"/>
    <w:pPr>
      <w:spacing w:before="0" w:after="0"/>
      <w:ind w:left="0" w:firstLine="0"/>
    </w:pPr>
    <w:rPr>
      <w:rFonts w:ascii="Verdana" w:hAnsi="Verdana" w:cs="Verdana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159FD"/>
    <w:rPr>
      <w:rFonts w:ascii="Verdana" w:hAnsi="Verdana" w:cs="Verdana"/>
      <w:sz w:val="20"/>
      <w:szCs w:val="20"/>
      <w:lang w:eastAsia="pt-PT"/>
    </w:rPr>
  </w:style>
  <w:style w:type="paragraph" w:customStyle="1" w:styleId="capitulos">
    <w:name w:val="capitulos"/>
    <w:basedOn w:val="Normal"/>
    <w:link w:val="capitulosCarcter"/>
    <w:uiPriority w:val="99"/>
    <w:rsid w:val="00133CC6"/>
    <w:pPr>
      <w:numPr>
        <w:numId w:val="1"/>
      </w:numPr>
      <w:suppressAutoHyphens/>
      <w:autoSpaceDN w:val="0"/>
      <w:spacing w:before="0" w:after="0" w:line="360" w:lineRule="auto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capitulosCarcter">
    <w:name w:val="capitulos Carácter"/>
    <w:basedOn w:val="Tipodeletrapredefinidodopargrafo"/>
    <w:link w:val="capitulos"/>
    <w:uiPriority w:val="99"/>
    <w:locked/>
    <w:rsid w:val="00133CC6"/>
    <w:rPr>
      <w:rFonts w:ascii="Arial" w:hAnsi="Arial" w:cs="Arial"/>
      <w:b/>
      <w:bCs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F1666C"/>
  </w:style>
  <w:style w:type="character" w:styleId="Hiperligao">
    <w:name w:val="Hyperlink"/>
    <w:basedOn w:val="Tipodeletrapredefinidodopargrafo"/>
    <w:uiPriority w:val="99"/>
    <w:unhideWhenUsed/>
    <w:rsid w:val="001878BA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390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39046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39046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39046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39046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Forte">
    <w:name w:val="Strong"/>
    <w:basedOn w:val="Tipodeletrapredefinidodopargrafo"/>
    <w:qFormat/>
    <w:locked/>
    <w:rsid w:val="00187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C"/>
    <w:pPr>
      <w:spacing w:before="120" w:after="600"/>
      <w:ind w:left="714" w:hanging="357"/>
      <w:jc w:val="both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qFormat/>
    <w:locked/>
    <w:rsid w:val="00390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4116C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nhideWhenUsed/>
    <w:qFormat/>
    <w:locked/>
    <w:rsid w:val="00390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nhideWhenUsed/>
    <w:qFormat/>
    <w:locked/>
    <w:rsid w:val="00390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nhideWhenUsed/>
    <w:qFormat/>
    <w:locked/>
    <w:rsid w:val="00390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nhideWhenUsed/>
    <w:qFormat/>
    <w:locked/>
    <w:rsid w:val="00390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4116CC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116CC"/>
    <w:pPr>
      <w:spacing w:before="100" w:beforeAutospacing="1" w:after="100" w:afterAutospacing="1" w:line="312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itaoHTML">
    <w:name w:val="HTML Cite"/>
    <w:basedOn w:val="Tipodeletrapredefinidodopargrafo"/>
    <w:uiPriority w:val="99"/>
    <w:rsid w:val="004116CC"/>
    <w:rPr>
      <w:i/>
      <w:iCs/>
    </w:rPr>
  </w:style>
  <w:style w:type="paragraph" w:styleId="Cabealho">
    <w:name w:val="header"/>
    <w:basedOn w:val="Normal"/>
    <w:link w:val="Cabealho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62684"/>
  </w:style>
  <w:style w:type="paragraph" w:styleId="Rodap">
    <w:name w:val="footer"/>
    <w:basedOn w:val="Normal"/>
    <w:link w:val="RodapCarcter"/>
    <w:uiPriority w:val="99"/>
    <w:rsid w:val="00C6268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62684"/>
  </w:style>
  <w:style w:type="paragraph" w:styleId="Textodebalo">
    <w:name w:val="Balloon Text"/>
    <w:basedOn w:val="Normal"/>
    <w:link w:val="TextodebaloCarcter"/>
    <w:uiPriority w:val="99"/>
    <w:semiHidden/>
    <w:rsid w:val="00C626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6268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semiHidden/>
    <w:rsid w:val="003159FD"/>
    <w:pPr>
      <w:spacing w:before="0" w:after="0"/>
      <w:ind w:left="0" w:firstLine="0"/>
    </w:pPr>
    <w:rPr>
      <w:rFonts w:ascii="Verdana" w:hAnsi="Verdana" w:cs="Verdana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159FD"/>
    <w:rPr>
      <w:rFonts w:ascii="Verdana" w:hAnsi="Verdana" w:cs="Verdana"/>
      <w:sz w:val="20"/>
      <w:szCs w:val="20"/>
      <w:lang w:eastAsia="pt-PT"/>
    </w:rPr>
  </w:style>
  <w:style w:type="paragraph" w:customStyle="1" w:styleId="capitulos">
    <w:name w:val="capitulos"/>
    <w:basedOn w:val="Normal"/>
    <w:link w:val="capitulosCarcter"/>
    <w:uiPriority w:val="99"/>
    <w:rsid w:val="00133CC6"/>
    <w:pPr>
      <w:numPr>
        <w:numId w:val="1"/>
      </w:numPr>
      <w:suppressAutoHyphens/>
      <w:autoSpaceDN w:val="0"/>
      <w:spacing w:before="0" w:after="0" w:line="360" w:lineRule="auto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capitulosCarcter">
    <w:name w:val="capitulos Carácter"/>
    <w:basedOn w:val="Tipodeletrapredefinidodopargrafo"/>
    <w:link w:val="capitulos"/>
    <w:uiPriority w:val="99"/>
    <w:locked/>
    <w:rsid w:val="00133CC6"/>
    <w:rPr>
      <w:rFonts w:ascii="Arial" w:hAnsi="Arial" w:cs="Arial"/>
      <w:b/>
      <w:bCs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F1666C"/>
  </w:style>
  <w:style w:type="character" w:styleId="Hiperligao">
    <w:name w:val="Hyperlink"/>
    <w:basedOn w:val="Tipodeletrapredefinidodopargrafo"/>
    <w:uiPriority w:val="99"/>
    <w:unhideWhenUsed/>
    <w:rsid w:val="001878BA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390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39046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39046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39046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39046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Forte">
    <w:name w:val="Strong"/>
    <w:basedOn w:val="Tipodeletrapredefinidodopargrafo"/>
    <w:qFormat/>
    <w:locked/>
    <w:rsid w:val="0018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BE80-59CE-45D9-81FC-71B0E43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2069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Inauguração centro de atividades ocupacionais da Ribeira Grande da Stª Casa Misericórdia da Ribeira Grande- S</vt:lpstr>
    </vt:vector>
  </TitlesOfParts>
  <Company>Governo Regional dos Açores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Inauguração centro de atividades ocupacionais da Ribeira Grande da Stª Casa Misericórdia da Ribeira Grande- S</dc:title>
  <dc:creator>sm196109</dc:creator>
  <cp:lastModifiedBy>AM196428</cp:lastModifiedBy>
  <cp:revision>3</cp:revision>
  <dcterms:created xsi:type="dcterms:W3CDTF">2012-08-20T11:19:00Z</dcterms:created>
  <dcterms:modified xsi:type="dcterms:W3CDTF">2012-09-04T16:45:00Z</dcterms:modified>
</cp:coreProperties>
</file>